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E4" w:rsidRDefault="00392EE4">
      <w:bookmarkStart w:id="0" w:name="_GoBack"/>
      <w:bookmarkEnd w:id="0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5071D2">
              <w:rPr>
                <w:sz w:val="24"/>
                <w:szCs w:val="24"/>
              </w:rPr>
              <w:t xml:space="preserve"> Esecuzione ed interpretazione 2 (oboe)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5071D2">
              <w:rPr>
                <w:sz w:val="24"/>
                <w:szCs w:val="24"/>
              </w:rPr>
              <w:t>19</w:t>
            </w:r>
            <w:r w:rsidRPr="00963828">
              <w:rPr>
                <w:sz w:val="24"/>
                <w:szCs w:val="24"/>
              </w:rPr>
              <w:t>/20</w:t>
            </w:r>
            <w:r w:rsidR="005071D2">
              <w:rPr>
                <w:sz w:val="24"/>
                <w:szCs w:val="24"/>
              </w:rPr>
              <w:t>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5071D2">
              <w:rPr>
                <w:sz w:val="24"/>
                <w:szCs w:val="24"/>
              </w:rPr>
              <w:t xml:space="preserve"> I</w:t>
            </w:r>
            <w:r w:rsidR="00DA0C97">
              <w:rPr>
                <w:sz w:val="24"/>
                <w:szCs w:val="24"/>
              </w:rPr>
              <w:t>I</w:t>
            </w:r>
            <w:r w:rsidR="005071D2">
              <w:rPr>
                <w:sz w:val="24"/>
                <w:szCs w:val="24"/>
              </w:rPr>
              <w:t xml:space="preserve"> triennio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5071D2">
              <w:rPr>
                <w:sz w:val="24"/>
                <w:szCs w:val="24"/>
              </w:rPr>
              <w:t xml:space="preserve"> </w:t>
            </w:r>
            <w:r w:rsidR="00DA0C97">
              <w:rPr>
                <w:sz w:val="24"/>
                <w:szCs w:val="24"/>
              </w:rPr>
              <w:t>66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5071D2" w:rsidRPr="005071D2" w:rsidRDefault="005071D2" w:rsidP="005071D2">
            <w:pPr>
              <w:pStyle w:val="Bibliografia1"/>
              <w:numPr>
                <w:ilvl w:val="0"/>
                <w:numId w:val="44"/>
              </w:numPr>
              <w:tabs>
                <w:tab w:val="right" w:pos="170"/>
              </w:tabs>
              <w:rPr>
                <w:i/>
                <w:sz w:val="28"/>
                <w:szCs w:val="28"/>
              </w:rPr>
            </w:pPr>
            <w:r w:rsidRPr="005071D2">
              <w:rPr>
                <w:i/>
                <w:sz w:val="28"/>
                <w:szCs w:val="28"/>
              </w:rPr>
              <w:t>Sellner :Studi per oboe, Ed. Musica Budapest</w:t>
            </w:r>
          </w:p>
          <w:p w:rsidR="005071D2" w:rsidRPr="00DA0C97" w:rsidRDefault="005071D2" w:rsidP="005071D2">
            <w:pPr>
              <w:numPr>
                <w:ilvl w:val="0"/>
                <w:numId w:val="44"/>
              </w:numPr>
              <w:autoSpaceDE w:val="0"/>
              <w:rPr>
                <w:i/>
                <w:sz w:val="28"/>
                <w:szCs w:val="28"/>
                <w:lang w:val="en-US"/>
              </w:rPr>
            </w:pPr>
            <w:r w:rsidRPr="00DA0C97">
              <w:rPr>
                <w:i/>
                <w:sz w:val="28"/>
                <w:szCs w:val="28"/>
                <w:lang w:val="en-US"/>
              </w:rPr>
              <w:t xml:space="preserve"> </w:t>
            </w:r>
            <w:r w:rsidR="00DA0C97" w:rsidRPr="00DA0C97">
              <w:rPr>
                <w:sz w:val="28"/>
                <w:szCs w:val="28"/>
                <w:lang w:val="en-US"/>
              </w:rPr>
              <w:t>Bach-Studien fur oboe, volume 1</w:t>
            </w:r>
            <w:r w:rsidR="00DA0C97">
              <w:rPr>
                <w:sz w:val="28"/>
                <w:szCs w:val="28"/>
                <w:lang w:val="en-US"/>
              </w:rPr>
              <w:t>,</w:t>
            </w:r>
            <w:r w:rsidR="00DA0C97" w:rsidRPr="00DA0C97">
              <w:rPr>
                <w:sz w:val="28"/>
                <w:szCs w:val="28"/>
                <w:lang w:val="en-US"/>
              </w:rPr>
              <w:t xml:space="preserve"> E</w:t>
            </w:r>
            <w:r w:rsidR="00DA0C97">
              <w:rPr>
                <w:sz w:val="28"/>
                <w:szCs w:val="28"/>
                <w:lang w:val="en-US"/>
              </w:rPr>
              <w:t>dition Breitkopf</w:t>
            </w:r>
          </w:p>
          <w:p w:rsidR="00DA0C97" w:rsidRPr="00DA0C97" w:rsidRDefault="00DA0C97" w:rsidP="005071D2">
            <w:pPr>
              <w:numPr>
                <w:ilvl w:val="0"/>
                <w:numId w:val="44"/>
              </w:numPr>
              <w:autoSpaceDE w:val="0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Fernand Gillet: Vingt minutes d’etude, Ed. Leduc</w:t>
            </w:r>
          </w:p>
          <w:p w:rsidR="005071D2" w:rsidRPr="005071D2" w:rsidRDefault="005071D2" w:rsidP="005071D2">
            <w:pPr>
              <w:numPr>
                <w:ilvl w:val="0"/>
                <w:numId w:val="44"/>
              </w:numPr>
              <w:autoSpaceDE w:val="0"/>
              <w:rPr>
                <w:sz w:val="28"/>
                <w:szCs w:val="28"/>
              </w:rPr>
            </w:pPr>
            <w:r w:rsidRPr="005071D2">
              <w:rPr>
                <w:i/>
                <w:sz w:val="28"/>
                <w:szCs w:val="28"/>
              </w:rPr>
              <w:t>Louis Bleuzet: “ La tecnica dell’oboe”</w:t>
            </w:r>
          </w:p>
          <w:p w:rsidR="005071D2" w:rsidRDefault="005071D2" w:rsidP="005071D2">
            <w:pPr>
              <w:pStyle w:val="Bibliografiadef"/>
              <w:numPr>
                <w:ilvl w:val="0"/>
                <w:numId w:val="43"/>
              </w:numPr>
              <w:tabs>
                <w:tab w:val="right" w:pos="508"/>
                <w:tab w:val="right" w:pos="536"/>
              </w:tabs>
              <w:rPr>
                <w:sz w:val="28"/>
                <w:szCs w:val="28"/>
              </w:rPr>
            </w:pPr>
            <w:r w:rsidRPr="005071D2">
              <w:rPr>
                <w:i/>
                <w:sz w:val="28"/>
                <w:szCs w:val="28"/>
              </w:rPr>
              <w:t>Salviani:</w:t>
            </w:r>
            <w:r w:rsidRPr="005071D2">
              <w:rPr>
                <w:sz w:val="28"/>
                <w:szCs w:val="28"/>
              </w:rPr>
              <w:t>Studi per oboe vol.1</w:t>
            </w:r>
          </w:p>
          <w:p w:rsidR="00DA0C97" w:rsidRDefault="00DA0C97" w:rsidP="005071D2">
            <w:pPr>
              <w:pStyle w:val="Bibliografiadef"/>
              <w:numPr>
                <w:ilvl w:val="0"/>
                <w:numId w:val="43"/>
              </w:numPr>
              <w:tabs>
                <w:tab w:val="right" w:pos="508"/>
                <w:tab w:val="right" w:pos="536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>Ph.Telemann : Sonata in la min, Ed. Musica Rara</w:t>
            </w:r>
          </w:p>
          <w:p w:rsidR="00DA0C97" w:rsidRDefault="00DA0C97" w:rsidP="005071D2">
            <w:pPr>
              <w:pStyle w:val="Bibliografiadef"/>
              <w:numPr>
                <w:ilvl w:val="0"/>
                <w:numId w:val="43"/>
              </w:numPr>
              <w:tabs>
                <w:tab w:val="right" w:pos="508"/>
                <w:tab w:val="right" w:pos="536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>Ph.Telemann : Concerto per oboe, archi e continuo in fa-, Edition Peters</w:t>
            </w:r>
          </w:p>
          <w:p w:rsidR="00DA0C97" w:rsidRPr="005071D2" w:rsidRDefault="00DA0C97" w:rsidP="00DA0C97">
            <w:pPr>
              <w:pStyle w:val="Bibliografiadef"/>
              <w:numPr>
                <w:ilvl w:val="0"/>
                <w:numId w:val="0"/>
              </w:numPr>
              <w:tabs>
                <w:tab w:val="right" w:pos="508"/>
                <w:tab w:val="right" w:pos="536"/>
              </w:tabs>
              <w:ind w:left="530"/>
              <w:rPr>
                <w:sz w:val="28"/>
                <w:szCs w:val="28"/>
              </w:rPr>
            </w:pPr>
          </w:p>
          <w:p w:rsidR="00BB0B66" w:rsidRPr="00963828" w:rsidRDefault="00BB0B66" w:rsidP="00DA0C97">
            <w:pPr>
              <w:rPr>
                <w:sz w:val="24"/>
                <w:szCs w:val="24"/>
              </w:rPr>
            </w:pPr>
          </w:p>
        </w:tc>
      </w:tr>
      <w:tr w:rsidR="00BB0B66" w:rsidRPr="00963828" w:rsidTr="004B183A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5071D2" w:rsidRDefault="005071D2" w:rsidP="004B183A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Avere padronanza adeguata del proprio equilibrio psico-fisico</w:t>
            </w:r>
          </w:p>
          <w:p w:rsidR="005071D2" w:rsidRDefault="005071D2" w:rsidP="004B183A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Essere sostanzialmente autonomi nello studio di specifici passaggi tecnici</w:t>
            </w:r>
          </w:p>
          <w:p w:rsidR="005071D2" w:rsidRPr="00AA102A" w:rsidRDefault="005071D2" w:rsidP="004B183A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Saper interpretare in maniera consapevole e adeguata i segni morfologici</w:t>
            </w:r>
          </w:p>
          <w:p w:rsidR="005071D2" w:rsidRDefault="005071D2" w:rsidP="004B183A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Acquisire autonomia nell’organizzazione del fiato</w:t>
            </w:r>
          </w:p>
          <w:p w:rsidR="004B183A" w:rsidRPr="004B183A" w:rsidRDefault="005071D2" w:rsidP="004B183A">
            <w:pPr>
              <w:pStyle w:val="Paragrafoelenco"/>
              <w:numPr>
                <w:ilvl w:val="0"/>
                <w:numId w:val="45"/>
              </w:numPr>
              <w:suppressAutoHyphens/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4B183A">
              <w:rPr>
                <w:rFonts w:ascii="Times New Roman" w:hAnsi="Times New Roman"/>
                <w:sz w:val="28"/>
                <w:szCs w:val="28"/>
              </w:rPr>
              <w:t>Riconoscere  la necessità di rilassare la muscolatura e diminuire la pressione dell’aria (tramite la sola espirazione) nelle fasi esecutive  più faticose</w:t>
            </w:r>
          </w:p>
          <w:p w:rsidR="004B183A" w:rsidRPr="004B183A" w:rsidRDefault="004B183A" w:rsidP="004B183A">
            <w:pPr>
              <w:suppressAutoHyphens/>
              <w:snapToGri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Pr="004B183A">
              <w:rPr>
                <w:sz w:val="28"/>
                <w:szCs w:val="28"/>
              </w:rPr>
              <w:t xml:space="preserve"> Acquisire le competenze tecnico - esecutive funzionali alla </w:t>
            </w:r>
            <w:r>
              <w:rPr>
                <w:sz w:val="28"/>
                <w:szCs w:val="28"/>
              </w:rPr>
              <w:t xml:space="preserve">                      r</w:t>
            </w:r>
            <w:r w:rsidRPr="004B183A">
              <w:rPr>
                <w:sz w:val="28"/>
                <w:szCs w:val="28"/>
              </w:rPr>
              <w:t>isoluzione di problemi pre</w:t>
            </w:r>
            <w:r>
              <w:rPr>
                <w:sz w:val="28"/>
                <w:szCs w:val="28"/>
              </w:rPr>
              <w:t xml:space="preserve">sentati dalle diverse strutture  </w:t>
            </w:r>
            <w:r w:rsidRPr="004B183A">
              <w:rPr>
                <w:sz w:val="28"/>
                <w:szCs w:val="28"/>
              </w:rPr>
              <w:t>morfologiche della musica (dinamiche, timbriche, ritmiche, metriche, agogiche, melodiche, polifoniche, armoniche, fraseologiche)</w:t>
            </w:r>
          </w:p>
          <w:p w:rsidR="004B183A" w:rsidRPr="004B183A" w:rsidRDefault="004B183A" w:rsidP="004B183A">
            <w:pPr>
              <w:suppressAutoHyphens/>
              <w:snapToGrid w:val="0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 w:rsidRPr="004B183A">
              <w:rPr>
                <w:sz w:val="28"/>
                <w:szCs w:val="28"/>
              </w:rPr>
              <w:t xml:space="preserve">Sapere realizzare sul piano espressivo gli aspetti dinamici, agogici, fraseologici, ritmico-metrici, melodici, polifonici, </w:t>
            </w:r>
            <w:r>
              <w:rPr>
                <w:sz w:val="28"/>
                <w:szCs w:val="28"/>
              </w:rPr>
              <w:t xml:space="preserve"> </w:t>
            </w:r>
            <w:r w:rsidRPr="004B183A">
              <w:rPr>
                <w:sz w:val="28"/>
                <w:szCs w:val="28"/>
              </w:rPr>
              <w:t>armonici di un brano.</w:t>
            </w:r>
          </w:p>
          <w:p w:rsidR="004B183A" w:rsidRPr="004B183A" w:rsidRDefault="004B183A" w:rsidP="004B183A">
            <w:pPr>
              <w:snapToGrid w:val="0"/>
              <w:spacing w:before="60" w:after="60"/>
              <w:ind w:left="360"/>
              <w:rPr>
                <w:sz w:val="28"/>
                <w:szCs w:val="28"/>
              </w:rPr>
            </w:pPr>
          </w:p>
          <w:p w:rsidR="004B183A" w:rsidRDefault="004B183A" w:rsidP="004B183A">
            <w:pPr>
              <w:snapToGrid w:val="0"/>
              <w:spacing w:before="60" w:after="60"/>
              <w:ind w:left="360"/>
              <w:rPr>
                <w:rFonts w:ascii="Calibri" w:hAnsi="Calibri" w:cs="Calibri"/>
              </w:rPr>
            </w:pPr>
          </w:p>
          <w:p w:rsidR="005071D2" w:rsidRDefault="005071D2" w:rsidP="004B183A">
            <w:pPr>
              <w:pStyle w:val="Paragrafoelenco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4B183A" w:rsidRPr="004B183A" w:rsidRDefault="004B183A" w:rsidP="004B183A">
            <w:pPr>
              <w:contextualSpacing/>
              <w:rPr>
                <w:sz w:val="28"/>
              </w:rPr>
            </w:pPr>
          </w:p>
          <w:p w:rsidR="00BB0B66" w:rsidRPr="00963828" w:rsidRDefault="00BB0B66" w:rsidP="004B183A">
            <w:pPr>
              <w:ind w:left="37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4B183A" w:rsidP="00487B8E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Esecuzione</w:t>
            </w:r>
            <w:r w:rsidRPr="00AA102A">
              <w:rPr>
                <w:iCs/>
                <w:sz w:val="28"/>
              </w:rPr>
              <w:t xml:space="preserve"> precisa e tecnicamente </w:t>
            </w:r>
            <w:r>
              <w:rPr>
                <w:iCs/>
                <w:sz w:val="28"/>
              </w:rPr>
              <w:t>sicura, i</w:t>
            </w:r>
            <w:r w:rsidRPr="00AA102A">
              <w:rPr>
                <w:iCs/>
                <w:sz w:val="28"/>
              </w:rPr>
              <w:t xml:space="preserve">nterpretazione stilisticamente </w:t>
            </w:r>
            <w:r>
              <w:rPr>
                <w:iCs/>
                <w:sz w:val="28"/>
              </w:rPr>
              <w:t>adeguata</w:t>
            </w:r>
            <w:r w:rsidRPr="00AA102A">
              <w:rPr>
                <w:iCs/>
                <w:sz w:val="28"/>
              </w:rPr>
              <w:t xml:space="preserve"> ed espressiva</w:t>
            </w:r>
            <w:r>
              <w:rPr>
                <w:iCs/>
                <w:sz w:val="28"/>
              </w:rPr>
              <w:t xml:space="preserve"> di brani di media difficoltà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4B183A" w:rsidP="00487B8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Esecuzione corretta, interpretazione stilisticamente rispettosa e sufficientemente espressiva di brani di media difficoltà</w:t>
            </w: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Pr="00963828" w:rsidRDefault="00507B16" w:rsidP="00487B8E">
            <w:pPr>
              <w:ind w:left="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Esecuzione sostanzialmente corretta, interpretazione parzialmente adeguata da un punto di vista stilistico ed espressivamente essenziale di brani di media difficoltà</w:t>
            </w:r>
          </w:p>
          <w:p w:rsidR="00BB0B66" w:rsidRPr="00963828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:rsidR="005A278C" w:rsidRDefault="005A278C"/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A773DD" w:rsidRPr="00507B16" w:rsidRDefault="00507B16" w:rsidP="00487B8E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2 verifiche pratiche</w:t>
            </w:r>
          </w:p>
          <w:p w:rsidR="00A773DD" w:rsidRPr="00507B16" w:rsidRDefault="00A773DD" w:rsidP="00487B8E">
            <w:pPr>
              <w:ind w:left="37"/>
              <w:rPr>
                <w:sz w:val="28"/>
                <w:szCs w:val="28"/>
              </w:rPr>
            </w:pPr>
          </w:p>
          <w:p w:rsidR="00A773DD" w:rsidRPr="00507B16" w:rsidRDefault="00A773DD" w:rsidP="00487B8E">
            <w:pPr>
              <w:ind w:left="37"/>
              <w:rPr>
                <w:sz w:val="28"/>
                <w:szCs w:val="28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A773DD" w:rsidRPr="00507B16" w:rsidRDefault="00507B16" w:rsidP="00487B8E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-Partecipazione alle attività decise all’interno del dipartimento musicale</w:t>
            </w:r>
          </w:p>
          <w:p w:rsidR="00507B16" w:rsidRPr="00507B16" w:rsidRDefault="00507B16" w:rsidP="00487B8E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-Laboratorio per la costruzione delle ance</w:t>
            </w:r>
          </w:p>
          <w:p w:rsidR="00507B16" w:rsidRPr="00507B16" w:rsidRDefault="00507B16" w:rsidP="00487B8E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-Banda di oboi (e fagotti)</w:t>
            </w:r>
          </w:p>
          <w:p w:rsidR="00507B16" w:rsidRPr="00507B16" w:rsidRDefault="00507B16" w:rsidP="00487B8E">
            <w:pPr>
              <w:ind w:left="37"/>
              <w:rPr>
                <w:sz w:val="28"/>
                <w:szCs w:val="28"/>
              </w:rPr>
            </w:pPr>
          </w:p>
        </w:tc>
      </w:tr>
    </w:tbl>
    <w:p w:rsidR="00A773DD" w:rsidRDefault="00A773DD"/>
    <w:p w:rsidR="00BB0B66" w:rsidRDefault="00BB0B66"/>
    <w:p w:rsidR="00335708" w:rsidRDefault="00335708"/>
    <w:p w:rsidR="005A278C" w:rsidRDefault="005A278C"/>
    <w:p w:rsidR="006D56E1" w:rsidRDefault="006D56E1"/>
    <w:p w:rsidR="006D56E1" w:rsidRDefault="006D56E1"/>
    <w:p w:rsidR="006D56E1" w:rsidRDefault="006D56E1"/>
    <w:p w:rsidR="00C66FC7" w:rsidRDefault="00C66FC7"/>
    <w:p w:rsidR="00C66FC7" w:rsidRDefault="00C66FC7"/>
    <w:p w:rsidR="006D56E1" w:rsidRDefault="006D56E1"/>
    <w:p w:rsidR="006D56E1" w:rsidRDefault="006D56E1"/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94"/>
        <w:gridCol w:w="1809"/>
        <w:gridCol w:w="1723"/>
        <w:gridCol w:w="6164"/>
      </w:tblGrid>
      <w:tr w:rsidR="006D56E1" w:rsidRPr="00963828" w:rsidTr="00507B16">
        <w:trPr>
          <w:trHeight w:val="279"/>
          <w:tblCellSpacing w:w="20" w:type="dxa"/>
        </w:trPr>
        <w:tc>
          <w:tcPr>
            <w:tcW w:w="306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pct"/>
            <w:gridSpan w:val="2"/>
          </w:tcPr>
          <w:p w:rsidR="006D56E1" w:rsidRDefault="0040690F" w:rsidP="003B6F93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-Antonio Vivaldi: Sonata in Do+ per oboe e b.c., Edizioni Ricordi</w:t>
            </w:r>
          </w:p>
          <w:p w:rsidR="0040690F" w:rsidRDefault="0040690F" w:rsidP="003B6F93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Saint-Saens: Sonata per oboe e pianoforte, Edition Peters</w:t>
            </w:r>
          </w:p>
          <w:p w:rsidR="0040690F" w:rsidRDefault="0040690F" w:rsidP="003B6F93">
            <w:pPr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-Telemann: Metodische Sonaten</w:t>
            </w:r>
          </w:p>
          <w:p w:rsidR="00507B16" w:rsidRDefault="00507B16" w:rsidP="003B6F93">
            <w:pPr>
              <w:ind w:left="48"/>
              <w:rPr>
                <w:sz w:val="28"/>
                <w:szCs w:val="28"/>
              </w:rPr>
            </w:pPr>
          </w:p>
          <w:p w:rsidR="00507B16" w:rsidRPr="00507B16" w:rsidRDefault="00507B16" w:rsidP="003B6F93">
            <w:pPr>
              <w:ind w:left="48"/>
              <w:rPr>
                <w:sz w:val="28"/>
                <w:szCs w:val="28"/>
              </w:rPr>
            </w:pPr>
          </w:p>
        </w:tc>
      </w:tr>
      <w:tr w:rsidR="006D56E1" w:rsidRPr="00963828" w:rsidTr="00507B16">
        <w:trPr>
          <w:trHeight w:val="277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62" w:type="pct"/>
            <w:gridSpan w:val="2"/>
          </w:tcPr>
          <w:p w:rsidR="006D56E1" w:rsidRPr="00507B16" w:rsidRDefault="00507B16" w:rsidP="003B6F93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Vedi primo quadrimestre</w:t>
            </w:r>
          </w:p>
        </w:tc>
      </w:tr>
      <w:tr w:rsidR="00507B16" w:rsidRPr="00963828" w:rsidTr="00507B16">
        <w:trPr>
          <w:trHeight w:val="615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507B16" w:rsidRPr="00963828" w:rsidRDefault="00507B16" w:rsidP="003B6F93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vMerge w:val="restart"/>
            <w:shd w:val="clear" w:color="auto" w:fill="C6D9F1"/>
            <w:vAlign w:val="center"/>
          </w:tcPr>
          <w:p w:rsidR="00507B16" w:rsidRPr="00963828" w:rsidRDefault="00507B16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07B16" w:rsidRPr="00963828" w:rsidRDefault="00507B16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3" w:type="pct"/>
            <w:vAlign w:val="center"/>
          </w:tcPr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pct"/>
          </w:tcPr>
          <w:p w:rsidR="00507B16" w:rsidRPr="00963828" w:rsidRDefault="00507B16" w:rsidP="00FD5098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Esecuzione</w:t>
            </w:r>
            <w:r w:rsidRPr="00AA102A">
              <w:rPr>
                <w:iCs/>
                <w:sz w:val="28"/>
              </w:rPr>
              <w:t xml:space="preserve"> precisa e tecnicamente </w:t>
            </w:r>
            <w:r>
              <w:rPr>
                <w:iCs/>
                <w:sz w:val="28"/>
              </w:rPr>
              <w:t>sicura, i</w:t>
            </w:r>
            <w:r w:rsidRPr="00AA102A">
              <w:rPr>
                <w:iCs/>
                <w:sz w:val="28"/>
              </w:rPr>
              <w:t xml:space="preserve">nterpretazione stilisticamente </w:t>
            </w:r>
            <w:r>
              <w:rPr>
                <w:iCs/>
                <w:sz w:val="28"/>
              </w:rPr>
              <w:t>adeguata</w:t>
            </w:r>
            <w:r w:rsidRPr="00AA102A">
              <w:rPr>
                <w:iCs/>
                <w:sz w:val="28"/>
              </w:rPr>
              <w:t xml:space="preserve"> ed espressiva</w:t>
            </w:r>
            <w:r>
              <w:rPr>
                <w:iCs/>
                <w:sz w:val="28"/>
              </w:rPr>
              <w:t xml:space="preserve"> di brani di media difficoltà</w:t>
            </w:r>
          </w:p>
        </w:tc>
      </w:tr>
      <w:tr w:rsidR="00507B16" w:rsidRPr="00963828" w:rsidTr="00507B16">
        <w:trPr>
          <w:trHeight w:val="615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507B16" w:rsidRPr="00963828" w:rsidRDefault="00507B16" w:rsidP="003B6F93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C6D9F1"/>
          </w:tcPr>
          <w:p w:rsidR="00507B16" w:rsidRPr="00963828" w:rsidRDefault="00507B16" w:rsidP="003B6F93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pct"/>
          </w:tcPr>
          <w:p w:rsidR="00507B16" w:rsidRPr="00963828" w:rsidRDefault="00507B16" w:rsidP="00FD509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Esecuzione corretta, interpretazione stilisticamente rispettosa e sufficientemente espressiva di brani di media difficoltà</w:t>
            </w:r>
          </w:p>
        </w:tc>
      </w:tr>
      <w:tr w:rsidR="00507B16" w:rsidRPr="00963828" w:rsidTr="00507B16">
        <w:trPr>
          <w:trHeight w:val="615"/>
          <w:tblCellSpacing w:w="20" w:type="dxa"/>
        </w:trPr>
        <w:tc>
          <w:tcPr>
            <w:tcW w:w="306" w:type="pct"/>
            <w:vMerge/>
            <w:shd w:val="clear" w:color="auto" w:fill="C6D9F1"/>
          </w:tcPr>
          <w:p w:rsidR="00507B16" w:rsidRPr="00963828" w:rsidRDefault="00507B16" w:rsidP="003B6F93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vMerge/>
            <w:shd w:val="clear" w:color="auto" w:fill="C6D9F1"/>
          </w:tcPr>
          <w:p w:rsidR="00507B16" w:rsidRPr="00963828" w:rsidRDefault="00507B16" w:rsidP="003B6F93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07B16" w:rsidRPr="00963828" w:rsidRDefault="00507B16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pct"/>
          </w:tcPr>
          <w:p w:rsidR="00507B16" w:rsidRPr="00963828" w:rsidRDefault="00507B16" w:rsidP="00FD5098">
            <w:pPr>
              <w:ind w:left="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Esecuzione sostanzialmente corretta, interpretazione parzialmente adeguata da un punto di vista stilistico ed espressivamente essenziale di brani di media difficoltà</w:t>
            </w:r>
          </w:p>
          <w:p w:rsidR="00507B16" w:rsidRPr="00963828" w:rsidRDefault="00507B16" w:rsidP="00FD5098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6D56E1" w:rsidRPr="00507B16" w:rsidRDefault="00507B16" w:rsidP="003B6F93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2 verifiche</w:t>
            </w:r>
          </w:p>
          <w:p w:rsidR="006D56E1" w:rsidRPr="00507B16" w:rsidRDefault="006D56E1" w:rsidP="003B6F93">
            <w:pPr>
              <w:ind w:left="37"/>
              <w:rPr>
                <w:sz w:val="28"/>
                <w:szCs w:val="28"/>
              </w:rPr>
            </w:pPr>
          </w:p>
          <w:p w:rsidR="006D56E1" w:rsidRPr="00507B16" w:rsidRDefault="006D56E1" w:rsidP="003B6F93">
            <w:pPr>
              <w:ind w:left="37"/>
              <w:rPr>
                <w:sz w:val="28"/>
                <w:szCs w:val="28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07B16" w:rsidRPr="00507B16" w:rsidRDefault="00507B16" w:rsidP="00507B16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-Partecipazione alle attività decise all’interno del dipartimento musicale</w:t>
            </w:r>
          </w:p>
          <w:p w:rsidR="00507B16" w:rsidRPr="00507B16" w:rsidRDefault="00507B16" w:rsidP="00507B16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-Laboratorio per la costruzione delle ance</w:t>
            </w:r>
          </w:p>
          <w:p w:rsidR="00507B16" w:rsidRPr="00507B16" w:rsidRDefault="00507B16" w:rsidP="00507B16">
            <w:pPr>
              <w:ind w:left="37"/>
              <w:rPr>
                <w:sz w:val="28"/>
                <w:szCs w:val="28"/>
              </w:rPr>
            </w:pPr>
            <w:r w:rsidRPr="00507B16">
              <w:rPr>
                <w:sz w:val="28"/>
                <w:szCs w:val="28"/>
              </w:rPr>
              <w:t>-Banda di oboi (e fagotti)</w:t>
            </w:r>
          </w:p>
          <w:p w:rsidR="006D56E1" w:rsidRPr="00507B16" w:rsidRDefault="006D56E1" w:rsidP="003B6F93">
            <w:pPr>
              <w:ind w:left="37"/>
              <w:rPr>
                <w:sz w:val="28"/>
                <w:szCs w:val="28"/>
              </w:rPr>
            </w:pP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2F" w:rsidRDefault="00862F2F" w:rsidP="00C81B59">
      <w:r>
        <w:separator/>
      </w:r>
    </w:p>
  </w:endnote>
  <w:endnote w:type="continuationSeparator" w:id="1">
    <w:p w:rsidR="00862F2F" w:rsidRDefault="00862F2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A" w:rsidRDefault="00621E8A">
    <w:pPr>
      <w:pStyle w:val="Pidipagina"/>
      <w:jc w:val="right"/>
    </w:pPr>
    <w:r>
      <w:t xml:space="preserve">Pagina </w:t>
    </w:r>
    <w:r w:rsidR="00A920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A9204B">
      <w:rPr>
        <w:b/>
        <w:sz w:val="24"/>
        <w:szCs w:val="24"/>
      </w:rPr>
      <w:fldChar w:fldCharType="separate"/>
    </w:r>
    <w:r w:rsidR="0040690F">
      <w:rPr>
        <w:b/>
        <w:noProof/>
      </w:rPr>
      <w:t>1</w:t>
    </w:r>
    <w:r w:rsidR="00A9204B">
      <w:rPr>
        <w:b/>
        <w:sz w:val="24"/>
        <w:szCs w:val="24"/>
      </w:rPr>
      <w:fldChar w:fldCharType="end"/>
    </w:r>
    <w:r>
      <w:t xml:space="preserve"> di </w:t>
    </w:r>
    <w:r w:rsidR="00A920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9204B">
      <w:rPr>
        <w:b/>
        <w:sz w:val="24"/>
        <w:szCs w:val="24"/>
      </w:rPr>
      <w:fldChar w:fldCharType="separate"/>
    </w:r>
    <w:r w:rsidR="0040690F">
      <w:rPr>
        <w:b/>
        <w:noProof/>
      </w:rPr>
      <w:t>3</w:t>
    </w:r>
    <w:r w:rsidR="00A9204B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2F" w:rsidRDefault="00862F2F" w:rsidP="00C81B59">
      <w:r>
        <w:separator/>
      </w:r>
    </w:p>
  </w:footnote>
  <w:footnote w:type="continuationSeparator" w:id="1">
    <w:p w:rsidR="00862F2F" w:rsidRDefault="00862F2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4329809" r:id="rId3"/>
            </w:object>
          </w:r>
        </w:p>
        <w:p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63828" w:rsidRPr="00D20A55" w:rsidRDefault="00A9204B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963828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963828" w:rsidRPr="00D20A55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Pec:vasl01000a@pec.istruzione.it</w:t>
          </w:r>
        </w:p>
        <w:p w:rsidR="00963828" w:rsidRPr="00D20A55" w:rsidRDefault="00963828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3"/>
      </v:shape>
    </w:pict>
  </w:numPicBullet>
  <w:numPicBullet w:numPicBulletId="1">
    <w:pict>
      <v:shape id="_x0000_i1094" type="#_x0000_t75" style="width:9pt;height:9pt" o:bullet="t">
        <v:imagedata r:id="rId2" o:title="j0115867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pStyle w:val="Bibliografiadef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pStyle w:val="Bibliografia1"/>
      <w:lvlText w:val=""/>
      <w:lvlJc w:val="left"/>
      <w:pPr>
        <w:tabs>
          <w:tab w:val="num" w:pos="0"/>
        </w:tabs>
        <w:ind w:left="142" w:hanging="142"/>
      </w:pPr>
      <w:rPr>
        <w:rFonts w:ascii="Symbol" w:hAnsi="Symbol"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530" w:hanging="360"/>
      </w:pPr>
      <w:rPr>
        <w:rFonts w:ascii="Symbol" w:hAnsi="Symbol" w:cs="Symbol"/>
        <w:lang w:val="en-U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530" w:hanging="360"/>
      </w:pPr>
      <w:rPr>
        <w:rFonts w:ascii="Symbol" w:hAnsi="Symbol" w:cs="Calibri" w:hint="default"/>
        <w:sz w:val="20"/>
        <w:lang w:val="en-US"/>
      </w:rPr>
    </w:lvl>
  </w:abstractNum>
  <w:abstractNum w:abstractNumId="6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C0BD9"/>
    <w:multiLevelType w:val="hybridMultilevel"/>
    <w:tmpl w:val="C972D168"/>
    <w:lvl w:ilvl="0" w:tplc="24C61D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7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5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7"/>
  </w:num>
  <w:num w:numId="4">
    <w:abstractNumId w:val="13"/>
  </w:num>
  <w:num w:numId="5">
    <w:abstractNumId w:val="34"/>
  </w:num>
  <w:num w:numId="6">
    <w:abstractNumId w:val="41"/>
  </w:num>
  <w:num w:numId="7">
    <w:abstractNumId w:val="12"/>
  </w:num>
  <w:num w:numId="8">
    <w:abstractNumId w:val="19"/>
  </w:num>
  <w:num w:numId="9">
    <w:abstractNumId w:val="26"/>
  </w:num>
  <w:num w:numId="10">
    <w:abstractNumId w:val="38"/>
  </w:num>
  <w:num w:numId="11">
    <w:abstractNumId w:val="23"/>
  </w:num>
  <w:num w:numId="12">
    <w:abstractNumId w:val="8"/>
  </w:num>
  <w:num w:numId="13">
    <w:abstractNumId w:val="28"/>
  </w:num>
  <w:num w:numId="14">
    <w:abstractNumId w:val="18"/>
  </w:num>
  <w:num w:numId="15">
    <w:abstractNumId w:val="33"/>
  </w:num>
  <w:num w:numId="16">
    <w:abstractNumId w:val="10"/>
  </w:num>
  <w:num w:numId="17">
    <w:abstractNumId w:val="31"/>
  </w:num>
  <w:num w:numId="18">
    <w:abstractNumId w:val="20"/>
  </w:num>
  <w:num w:numId="19">
    <w:abstractNumId w:val="29"/>
  </w:num>
  <w:num w:numId="20">
    <w:abstractNumId w:val="21"/>
  </w:num>
  <w:num w:numId="21">
    <w:abstractNumId w:val="16"/>
  </w:num>
  <w:num w:numId="22">
    <w:abstractNumId w:val="25"/>
  </w:num>
  <w:num w:numId="23">
    <w:abstractNumId w:val="32"/>
  </w:num>
  <w:num w:numId="24">
    <w:abstractNumId w:val="35"/>
  </w:num>
  <w:num w:numId="25">
    <w:abstractNumId w:val="11"/>
  </w:num>
  <w:num w:numId="26">
    <w:abstractNumId w:val="9"/>
  </w:num>
  <w:num w:numId="27">
    <w:abstractNumId w:val="44"/>
  </w:num>
  <w:num w:numId="28">
    <w:abstractNumId w:val="45"/>
  </w:num>
  <w:num w:numId="29">
    <w:abstractNumId w:val="43"/>
  </w:num>
  <w:num w:numId="30">
    <w:abstractNumId w:val="39"/>
  </w:num>
  <w:num w:numId="31">
    <w:abstractNumId w:val="36"/>
  </w:num>
  <w:num w:numId="32">
    <w:abstractNumId w:val="17"/>
  </w:num>
  <w:num w:numId="33">
    <w:abstractNumId w:val="27"/>
  </w:num>
  <w:num w:numId="34">
    <w:abstractNumId w:val="15"/>
  </w:num>
  <w:num w:numId="35">
    <w:abstractNumId w:val="40"/>
  </w:num>
  <w:num w:numId="36">
    <w:abstractNumId w:val="30"/>
  </w:num>
  <w:num w:numId="37">
    <w:abstractNumId w:val="6"/>
  </w:num>
  <w:num w:numId="38">
    <w:abstractNumId w:val="14"/>
  </w:num>
  <w:num w:numId="39">
    <w:abstractNumId w:val="37"/>
  </w:num>
  <w:num w:numId="40">
    <w:abstractNumId w:val="2"/>
  </w:num>
  <w:num w:numId="41">
    <w:abstractNumId w:val="1"/>
  </w:num>
  <w:num w:numId="42">
    <w:abstractNumId w:val="3"/>
  </w:num>
  <w:num w:numId="43">
    <w:abstractNumId w:val="4"/>
  </w:num>
  <w:num w:numId="44">
    <w:abstractNumId w:val="5"/>
  </w:num>
  <w:num w:numId="45">
    <w:abstractNumId w:val="24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065B5"/>
    <w:rsid w:val="00024F09"/>
    <w:rsid w:val="00032898"/>
    <w:rsid w:val="00041D49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0690F"/>
    <w:rsid w:val="00413B60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B183A"/>
    <w:rsid w:val="004D76EB"/>
    <w:rsid w:val="00505813"/>
    <w:rsid w:val="005071D2"/>
    <w:rsid w:val="00507B16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87337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62F2F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204B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0C97"/>
    <w:rsid w:val="00DA10E6"/>
    <w:rsid w:val="00DA302D"/>
    <w:rsid w:val="00DE0463"/>
    <w:rsid w:val="00DE10EE"/>
    <w:rsid w:val="00DF3009"/>
    <w:rsid w:val="00E022F1"/>
    <w:rsid w:val="00E259A6"/>
    <w:rsid w:val="00E26164"/>
    <w:rsid w:val="00E32164"/>
    <w:rsid w:val="00E917FA"/>
    <w:rsid w:val="00E9377D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customStyle="1" w:styleId="Bibliografia1">
    <w:name w:val="Bibliografia 1"/>
    <w:basedOn w:val="Normale"/>
    <w:rsid w:val="005071D2"/>
    <w:pPr>
      <w:numPr>
        <w:numId w:val="42"/>
      </w:numPr>
      <w:suppressLineNumbers/>
      <w:tabs>
        <w:tab w:val="right" w:pos="142"/>
      </w:tabs>
      <w:suppressAutoHyphens/>
    </w:pPr>
    <w:rPr>
      <w:sz w:val="24"/>
      <w:szCs w:val="24"/>
      <w:lang w:eastAsia="ar-SA"/>
    </w:rPr>
  </w:style>
  <w:style w:type="paragraph" w:customStyle="1" w:styleId="Bibliografiadef">
    <w:name w:val="Bibliografia def"/>
    <w:basedOn w:val="Normale"/>
    <w:rsid w:val="005071D2"/>
    <w:pPr>
      <w:widowControl w:val="0"/>
      <w:numPr>
        <w:numId w:val="41"/>
      </w:numPr>
      <w:suppressAutoHyphens/>
      <w:snapToGrid w:val="0"/>
      <w:ind w:left="366"/>
    </w:pPr>
    <w:rPr>
      <w:rFonts w:eastAsia="TimesNewRomanPSMT"/>
      <w:color w:val="000000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gov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C2B4F8-1159-49E1-A2A4-DE862C3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3118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Bruno</cp:lastModifiedBy>
  <cp:revision>2</cp:revision>
  <dcterms:created xsi:type="dcterms:W3CDTF">2019-11-03T22:44:00Z</dcterms:created>
  <dcterms:modified xsi:type="dcterms:W3CDTF">2019-11-03T22:44:00Z</dcterms:modified>
</cp:coreProperties>
</file>