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7EDF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87198E" w:rsidRPr="00963828" w14:paraId="7E177611" w14:textId="77777777" w:rsidTr="0087198E">
        <w:trPr>
          <w:trHeight w:val="279"/>
          <w:tblCellSpacing w:w="20" w:type="dxa"/>
        </w:trPr>
        <w:tc>
          <w:tcPr>
            <w:tcW w:w="2526" w:type="pct"/>
          </w:tcPr>
          <w:p w14:paraId="56AE0C33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4D3CFA">
              <w:rPr>
                <w:sz w:val="24"/>
                <w:szCs w:val="24"/>
              </w:rPr>
              <w:t xml:space="preserve"> Esecuzione e interpretazione 1 </w:t>
            </w:r>
            <w:r>
              <w:rPr>
                <w:sz w:val="24"/>
                <w:szCs w:val="24"/>
              </w:rPr>
              <w:t>(archi)</w:t>
            </w:r>
          </w:p>
        </w:tc>
        <w:tc>
          <w:tcPr>
            <w:tcW w:w="2416" w:type="pct"/>
          </w:tcPr>
          <w:p w14:paraId="6E16DC89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>
              <w:rPr>
                <w:sz w:val="24"/>
                <w:szCs w:val="24"/>
              </w:rPr>
              <w:t>19 /2020</w:t>
            </w:r>
          </w:p>
        </w:tc>
      </w:tr>
      <w:tr w:rsidR="0087198E" w:rsidRPr="00963828" w14:paraId="2C1A16E7" w14:textId="77777777" w:rsidTr="0087198E">
        <w:trPr>
          <w:trHeight w:val="279"/>
          <w:tblCellSpacing w:w="20" w:type="dxa"/>
        </w:trPr>
        <w:tc>
          <w:tcPr>
            <w:tcW w:w="2526" w:type="pct"/>
          </w:tcPr>
          <w:p w14:paraId="65196595" w14:textId="77777777" w:rsidR="0087198E" w:rsidRPr="00963828" w:rsidRDefault="0087198E" w:rsidP="00D02405">
            <w:pPr>
              <w:rPr>
                <w:sz w:val="24"/>
                <w:szCs w:val="24"/>
              </w:rPr>
            </w:pPr>
            <w:r w:rsidRPr="0087198E">
              <w:rPr>
                <w:sz w:val="24"/>
                <w:szCs w:val="24"/>
              </w:rPr>
              <w:t xml:space="preserve">Scheda di programmazione per le classi: </w:t>
            </w:r>
            <w:r w:rsidR="004D3CFA">
              <w:rPr>
                <w:sz w:val="24"/>
                <w:szCs w:val="24"/>
              </w:rPr>
              <w:t>Classe 5^</w:t>
            </w:r>
          </w:p>
        </w:tc>
        <w:tc>
          <w:tcPr>
            <w:tcW w:w="2416" w:type="pct"/>
          </w:tcPr>
          <w:p w14:paraId="1A5AE544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4D3CFA">
              <w:rPr>
                <w:sz w:val="24"/>
                <w:szCs w:val="24"/>
              </w:rPr>
              <w:t xml:space="preserve"> 66</w:t>
            </w:r>
          </w:p>
        </w:tc>
      </w:tr>
    </w:tbl>
    <w:p w14:paraId="7FED7468" w14:textId="77777777" w:rsidR="00392EE4" w:rsidRDefault="00392EE4"/>
    <w:p w14:paraId="5397A77A" w14:textId="77777777" w:rsidR="00392EE4" w:rsidRDefault="00392EE4"/>
    <w:tbl>
      <w:tblPr>
        <w:tblW w:w="499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572"/>
        <w:gridCol w:w="1580"/>
        <w:gridCol w:w="105"/>
        <w:gridCol w:w="6508"/>
      </w:tblGrid>
      <w:tr w:rsidR="0087198E" w:rsidRPr="00963828" w14:paraId="1F04125E" w14:textId="77777777" w:rsidTr="0087198E">
        <w:trPr>
          <w:trHeight w:val="279"/>
          <w:tblCellSpacing w:w="20" w:type="dxa"/>
        </w:trPr>
        <w:tc>
          <w:tcPr>
            <w:tcW w:w="264" w:type="pct"/>
            <w:vMerge w:val="restart"/>
            <w:shd w:val="clear" w:color="auto" w:fill="C6D9F1"/>
            <w:textDirection w:val="btLr"/>
            <w:vAlign w:val="center"/>
          </w:tcPr>
          <w:p w14:paraId="7C00CA29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 quadrimestre</w:t>
            </w:r>
          </w:p>
        </w:tc>
        <w:tc>
          <w:tcPr>
            <w:tcW w:w="745" w:type="pct"/>
            <w:vMerge w:val="restart"/>
            <w:shd w:val="clear" w:color="auto" w:fill="C6D9F1"/>
            <w:vAlign w:val="center"/>
          </w:tcPr>
          <w:p w14:paraId="455874BD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  <w:p w14:paraId="6D835B96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635D7D08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4927958" w14:textId="77777777" w:rsidR="0087198E" w:rsidRDefault="0087198E" w:rsidP="0087198E">
            <w:pPr>
              <w:jc w:val="center"/>
              <w:rPr>
                <w:sz w:val="24"/>
                <w:szCs w:val="24"/>
              </w:rPr>
            </w:pPr>
          </w:p>
          <w:p w14:paraId="5245EBDA" w14:textId="77777777" w:rsidR="0087198E" w:rsidRDefault="0087198E" w:rsidP="0087198E">
            <w:pPr>
              <w:jc w:val="center"/>
              <w:rPr>
                <w:sz w:val="24"/>
                <w:szCs w:val="24"/>
              </w:rPr>
            </w:pPr>
            <w:r w:rsidRPr="0087198E">
              <w:rPr>
                <w:sz w:val="24"/>
                <w:szCs w:val="24"/>
              </w:rPr>
              <w:t xml:space="preserve">Violino </w:t>
            </w:r>
          </w:p>
          <w:p w14:paraId="5F75DD97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pct"/>
            <w:vAlign w:val="center"/>
          </w:tcPr>
          <w:p w14:paraId="47C2CA10" w14:textId="77777777" w:rsidR="00824C60" w:rsidRDefault="00824C60" w:rsidP="0087198E">
            <w:pPr>
              <w:ind w:left="37"/>
              <w:rPr>
                <w:sz w:val="24"/>
                <w:szCs w:val="24"/>
                <w:u w:val="single"/>
              </w:rPr>
            </w:pPr>
          </w:p>
          <w:p w14:paraId="16CEAA59" w14:textId="77777777" w:rsidR="0087198E" w:rsidRPr="001515C6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Tecnica</w:t>
            </w:r>
          </w:p>
          <w:p w14:paraId="1169C657" w14:textId="77777777" w:rsidR="00C2338D" w:rsidRDefault="004D3CFA" w:rsidP="0087198E">
            <w:pPr>
              <w:ind w:left="37"/>
              <w:rPr>
                <w:sz w:val="24"/>
                <w:szCs w:val="24"/>
              </w:rPr>
            </w:pPr>
            <w:r w:rsidRPr="004D3CFA">
              <w:rPr>
                <w:sz w:val="24"/>
                <w:szCs w:val="24"/>
              </w:rPr>
              <w:t xml:space="preserve">Studio delle scale e degli arpeggi maggiori e minori a tre ottave tratte dalle raccolte di: L. </w:t>
            </w:r>
            <w:proofErr w:type="spellStart"/>
            <w:r w:rsidRPr="004D3CFA">
              <w:rPr>
                <w:sz w:val="24"/>
                <w:szCs w:val="24"/>
              </w:rPr>
              <w:t>Schinina</w:t>
            </w:r>
            <w:proofErr w:type="spellEnd"/>
            <w:r w:rsidRPr="004D3CFA">
              <w:rPr>
                <w:sz w:val="24"/>
                <w:szCs w:val="24"/>
              </w:rPr>
              <w:t>̀ - Scale e arpeggi  – 2° e 3° fascicolo (Ed. Curci); E. Polo - Tecnica fondamentale delle scale e degli arpeggi (Ed. Ricordi)</w:t>
            </w:r>
            <w:r>
              <w:rPr>
                <w:sz w:val="24"/>
                <w:szCs w:val="24"/>
              </w:rPr>
              <w:t xml:space="preserve">; </w:t>
            </w:r>
            <w:r w:rsidRPr="004D3CFA">
              <w:rPr>
                <w:sz w:val="24"/>
                <w:szCs w:val="24"/>
              </w:rPr>
              <w:t>J. Bloch – Scuola delle scale per violino Op. 5 (Ed. Budapest). Studio di nu</w:t>
            </w:r>
            <w:r>
              <w:rPr>
                <w:sz w:val="24"/>
                <w:szCs w:val="24"/>
              </w:rPr>
              <w:t xml:space="preserve">ovi colpi d'arco e prosecuzione dello </w:t>
            </w:r>
            <w:r w:rsidRPr="004D3CFA">
              <w:rPr>
                <w:sz w:val="24"/>
                <w:szCs w:val="24"/>
              </w:rPr>
              <w:t xml:space="preserve">studio delle scale a corde doppie (terze, seste e ottave). Esercizi per l'articolazione della mano sinistra e studio delle posizioni acute e dei cambi di posizione (A. Curci, O. </w:t>
            </w:r>
            <w:proofErr w:type="spellStart"/>
            <w:r w:rsidRPr="004D3CFA">
              <w:rPr>
                <w:sz w:val="24"/>
                <w:szCs w:val="24"/>
              </w:rPr>
              <w:t>Sevcik</w:t>
            </w:r>
            <w:proofErr w:type="spellEnd"/>
            <w:r w:rsidRPr="004D3CFA">
              <w:rPr>
                <w:sz w:val="24"/>
                <w:szCs w:val="24"/>
              </w:rPr>
              <w:t xml:space="preserve">, E. Porta, E. </w:t>
            </w:r>
            <w:proofErr w:type="spellStart"/>
            <w:r w:rsidRPr="004D3CFA">
              <w:rPr>
                <w:sz w:val="24"/>
                <w:szCs w:val="24"/>
              </w:rPr>
              <w:t>Sassmannshaus</w:t>
            </w:r>
            <w:proofErr w:type="spellEnd"/>
            <w:r w:rsidRPr="004D3CFA">
              <w:rPr>
                <w:sz w:val="24"/>
                <w:szCs w:val="24"/>
              </w:rPr>
              <w:t xml:space="preserve">, The </w:t>
            </w:r>
            <w:proofErr w:type="spellStart"/>
            <w:r w:rsidRPr="004D3CFA">
              <w:rPr>
                <w:sz w:val="24"/>
                <w:szCs w:val="24"/>
              </w:rPr>
              <w:t>Doflein</w:t>
            </w:r>
            <w:proofErr w:type="spellEnd"/>
            <w:r w:rsidRPr="004D3CFA">
              <w:rPr>
                <w:sz w:val="24"/>
                <w:szCs w:val="24"/>
              </w:rPr>
              <w:t xml:space="preserve"> Method. H. Sitt). Esercizi per l'arco in relazione alla gestione del suono: C. Flesch – Il problema del suono sul violino (Ed. Curci).</w:t>
            </w:r>
          </w:p>
          <w:p w14:paraId="21EABF50" w14:textId="77777777" w:rsidR="004D3CFA" w:rsidRDefault="004D3CFA" w:rsidP="0087198E">
            <w:pPr>
              <w:ind w:left="37"/>
              <w:rPr>
                <w:sz w:val="24"/>
                <w:szCs w:val="24"/>
              </w:rPr>
            </w:pPr>
          </w:p>
          <w:p w14:paraId="45BA3362" w14:textId="77777777" w:rsidR="0087198E" w:rsidRPr="001515C6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Studi</w:t>
            </w:r>
          </w:p>
          <w:p w14:paraId="13520FD8" w14:textId="77777777" w:rsidR="00C2338D" w:rsidRDefault="004D3CFA" w:rsidP="0087198E">
            <w:pPr>
              <w:ind w:left="37"/>
              <w:rPr>
                <w:sz w:val="24"/>
                <w:szCs w:val="24"/>
              </w:rPr>
            </w:pPr>
            <w:r w:rsidRPr="004D3CFA">
              <w:rPr>
                <w:sz w:val="24"/>
                <w:szCs w:val="24"/>
              </w:rPr>
              <w:t xml:space="preserve">H. E. Kayser  - 36 studi elementari e progressivi Op. 20 (Ed. Ricordi); J. F. </w:t>
            </w:r>
            <w:proofErr w:type="spellStart"/>
            <w:r w:rsidRPr="004D3CFA">
              <w:rPr>
                <w:sz w:val="24"/>
                <w:szCs w:val="24"/>
              </w:rPr>
              <w:t>Mazas</w:t>
            </w:r>
            <w:proofErr w:type="spellEnd"/>
            <w:r w:rsidRPr="004D3CFA">
              <w:rPr>
                <w:sz w:val="24"/>
                <w:szCs w:val="24"/>
              </w:rPr>
              <w:t xml:space="preserve">: 30 studi speciali Op. 36 (Ed. Ricordi); E. Polo: 30 studi a corde doppie (Ed. Ricordi); H. Sitt - 100 studi Op. 32 (Ed. Ricordi); J. Dont – 24 esercizi Op. 37 – Preliminari agli studi di Kreutzer (Ed. Ricordi); </w:t>
            </w:r>
            <w:r w:rsidR="009E0995" w:rsidRPr="009E0995">
              <w:rPr>
                <w:sz w:val="24"/>
                <w:szCs w:val="24"/>
              </w:rPr>
              <w:t>F. Fiorillo - 36 studi capricci (Ed. Curci);</w:t>
            </w:r>
            <w:r w:rsidR="009E0995">
              <w:rPr>
                <w:sz w:val="24"/>
                <w:szCs w:val="24"/>
              </w:rPr>
              <w:t xml:space="preserve"> </w:t>
            </w:r>
            <w:r w:rsidRPr="004D3CFA">
              <w:rPr>
                <w:sz w:val="24"/>
                <w:szCs w:val="24"/>
              </w:rPr>
              <w:t>R. Kr</w:t>
            </w:r>
            <w:r w:rsidR="009E0995">
              <w:rPr>
                <w:sz w:val="24"/>
                <w:szCs w:val="24"/>
              </w:rPr>
              <w:t xml:space="preserve">eutzer – 42 studi (Ed. Ricordi); </w:t>
            </w:r>
            <w:r w:rsidR="009E0995" w:rsidRPr="009E0995">
              <w:rPr>
                <w:sz w:val="24"/>
                <w:szCs w:val="24"/>
              </w:rPr>
              <w:t>P.</w:t>
            </w:r>
            <w:r w:rsidR="009E0995">
              <w:rPr>
                <w:sz w:val="24"/>
                <w:szCs w:val="24"/>
              </w:rPr>
              <w:t xml:space="preserve"> Rode – 24 capricci (Ed. Curci).</w:t>
            </w:r>
          </w:p>
          <w:p w14:paraId="4E3691C2" w14:textId="77777777" w:rsidR="004D3CFA" w:rsidRDefault="004D3CFA" w:rsidP="0087198E">
            <w:pPr>
              <w:ind w:left="37"/>
              <w:rPr>
                <w:sz w:val="24"/>
                <w:szCs w:val="24"/>
              </w:rPr>
            </w:pPr>
          </w:p>
          <w:p w14:paraId="1E829379" w14:textId="77777777" w:rsidR="0087198E" w:rsidRPr="001515C6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Repertorio</w:t>
            </w:r>
          </w:p>
          <w:p w14:paraId="12605430" w14:textId="77777777" w:rsidR="004F6E20" w:rsidRDefault="004D3CFA" w:rsidP="00C2338D">
            <w:pPr>
              <w:rPr>
                <w:sz w:val="24"/>
                <w:szCs w:val="24"/>
              </w:rPr>
            </w:pPr>
            <w:r w:rsidRPr="004D3CFA">
              <w:rPr>
                <w:sz w:val="24"/>
                <w:szCs w:val="24"/>
              </w:rPr>
              <w:t>Sonate e concerti per violino solo o con il pianoforte del periodo barocco (</w:t>
            </w:r>
            <w:r w:rsidR="009E0995" w:rsidRPr="009E0995">
              <w:rPr>
                <w:sz w:val="24"/>
                <w:szCs w:val="24"/>
              </w:rPr>
              <w:t xml:space="preserve">G. </w:t>
            </w:r>
            <w:proofErr w:type="spellStart"/>
            <w:r w:rsidR="009E0995" w:rsidRPr="009E0995">
              <w:rPr>
                <w:sz w:val="24"/>
                <w:szCs w:val="24"/>
              </w:rPr>
              <w:t>Ph</w:t>
            </w:r>
            <w:proofErr w:type="spellEnd"/>
            <w:r w:rsidR="009E0995" w:rsidRPr="009E0995">
              <w:rPr>
                <w:sz w:val="24"/>
                <w:szCs w:val="24"/>
              </w:rPr>
              <w:t xml:space="preserve">. </w:t>
            </w:r>
            <w:proofErr w:type="spellStart"/>
            <w:r w:rsidR="009E0995" w:rsidRPr="009E0995">
              <w:rPr>
                <w:sz w:val="24"/>
                <w:szCs w:val="24"/>
              </w:rPr>
              <w:t>Telemann</w:t>
            </w:r>
            <w:proofErr w:type="spellEnd"/>
            <w:r w:rsidR="009E0995">
              <w:rPr>
                <w:sz w:val="24"/>
                <w:szCs w:val="24"/>
              </w:rPr>
              <w:t xml:space="preserve">, </w:t>
            </w:r>
            <w:r w:rsidRPr="004D3CFA">
              <w:rPr>
                <w:sz w:val="24"/>
                <w:szCs w:val="24"/>
              </w:rPr>
              <w:t xml:space="preserve">G. B. Vitali, </w:t>
            </w:r>
            <w:r w:rsidR="009E0995" w:rsidRPr="009E0995">
              <w:rPr>
                <w:sz w:val="24"/>
                <w:szCs w:val="24"/>
              </w:rPr>
              <w:t>A. Corelli</w:t>
            </w:r>
            <w:r w:rsidR="009E0995">
              <w:rPr>
                <w:sz w:val="24"/>
                <w:szCs w:val="24"/>
              </w:rPr>
              <w:t xml:space="preserve">, </w:t>
            </w:r>
            <w:r w:rsidRPr="004D3CFA">
              <w:rPr>
                <w:sz w:val="24"/>
                <w:szCs w:val="24"/>
              </w:rPr>
              <w:t xml:space="preserve">A. Vivaldi, H. I. F. </w:t>
            </w:r>
            <w:proofErr w:type="spellStart"/>
            <w:r w:rsidRPr="004D3CFA">
              <w:rPr>
                <w:sz w:val="24"/>
                <w:szCs w:val="24"/>
              </w:rPr>
              <w:t>Biber</w:t>
            </w:r>
            <w:proofErr w:type="spellEnd"/>
            <w:r w:rsidRPr="004D3CFA">
              <w:rPr>
                <w:sz w:val="24"/>
                <w:szCs w:val="24"/>
              </w:rPr>
              <w:t xml:space="preserve">, </w:t>
            </w:r>
            <w:r w:rsidR="009E0995" w:rsidRPr="009E0995">
              <w:rPr>
                <w:sz w:val="24"/>
                <w:szCs w:val="24"/>
              </w:rPr>
              <w:t xml:space="preserve">F. M. </w:t>
            </w:r>
            <w:proofErr w:type="spellStart"/>
            <w:r w:rsidR="009E0995" w:rsidRPr="009E0995">
              <w:rPr>
                <w:sz w:val="24"/>
                <w:szCs w:val="24"/>
              </w:rPr>
              <w:t>Veracini</w:t>
            </w:r>
            <w:proofErr w:type="spellEnd"/>
            <w:r w:rsidR="009E0995">
              <w:rPr>
                <w:sz w:val="24"/>
                <w:szCs w:val="24"/>
              </w:rPr>
              <w:t xml:space="preserve">, </w:t>
            </w:r>
            <w:r w:rsidRPr="004D3CFA">
              <w:rPr>
                <w:sz w:val="24"/>
                <w:szCs w:val="24"/>
              </w:rPr>
              <w:t xml:space="preserve">G. Tartini, J. S. Bach, G. F. </w:t>
            </w:r>
            <w:proofErr w:type="spellStart"/>
            <w:r w:rsidRPr="004D3CFA">
              <w:rPr>
                <w:sz w:val="24"/>
                <w:szCs w:val="24"/>
              </w:rPr>
              <w:t>Händel</w:t>
            </w:r>
            <w:proofErr w:type="spellEnd"/>
            <w:r w:rsidRPr="004D3CFA">
              <w:rPr>
                <w:sz w:val="24"/>
                <w:szCs w:val="24"/>
              </w:rPr>
              <w:t>, etc.) . Brani del periodo classico e romantico. Duetti e musica da camera per archi e con il pianoforte.</w:t>
            </w:r>
          </w:p>
          <w:p w14:paraId="148A7701" w14:textId="77777777" w:rsidR="00824C60" w:rsidRPr="00963828" w:rsidRDefault="00824C60" w:rsidP="00C2338D">
            <w:pPr>
              <w:rPr>
                <w:sz w:val="24"/>
                <w:szCs w:val="24"/>
              </w:rPr>
            </w:pPr>
          </w:p>
        </w:tc>
      </w:tr>
      <w:tr w:rsidR="0087198E" w:rsidRPr="00963828" w14:paraId="6F72507C" w14:textId="77777777" w:rsidTr="0087198E">
        <w:trPr>
          <w:trHeight w:val="279"/>
          <w:tblCellSpacing w:w="20" w:type="dxa"/>
        </w:trPr>
        <w:tc>
          <w:tcPr>
            <w:tcW w:w="264" w:type="pct"/>
            <w:vMerge/>
            <w:shd w:val="clear" w:color="auto" w:fill="C6D9F1"/>
            <w:textDirection w:val="btLr"/>
            <w:vAlign w:val="center"/>
          </w:tcPr>
          <w:p w14:paraId="7A41720B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  <w:vAlign w:val="center"/>
          </w:tcPr>
          <w:p w14:paraId="3BC0FE4B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75E8451B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</w:t>
            </w:r>
          </w:p>
        </w:tc>
        <w:tc>
          <w:tcPr>
            <w:tcW w:w="3115" w:type="pct"/>
            <w:vAlign w:val="center"/>
          </w:tcPr>
          <w:p w14:paraId="6AB0100C" w14:textId="77777777" w:rsidR="004F6E20" w:rsidRPr="004F6E20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>Scale a tre ottave in tonalità anche lontane a do maggiore</w:t>
            </w:r>
          </w:p>
          <w:p w14:paraId="7F648448" w14:textId="77777777" w:rsidR="004F6E20" w:rsidRPr="004F6E20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 xml:space="preserve">R. Kreutzer </w:t>
            </w:r>
            <w:proofErr w:type="spellStart"/>
            <w:r w:rsidRPr="004F6E20">
              <w:rPr>
                <w:sz w:val="24"/>
                <w:szCs w:val="24"/>
              </w:rPr>
              <w:t>Etudes</w:t>
            </w:r>
            <w:proofErr w:type="spellEnd"/>
            <w:r w:rsidRPr="004F6E20">
              <w:rPr>
                <w:sz w:val="24"/>
                <w:szCs w:val="24"/>
              </w:rPr>
              <w:t xml:space="preserve"> ou </w:t>
            </w:r>
            <w:proofErr w:type="spellStart"/>
            <w:r w:rsidRPr="004F6E20">
              <w:rPr>
                <w:sz w:val="24"/>
                <w:szCs w:val="24"/>
              </w:rPr>
              <w:t>Caprices</w:t>
            </w:r>
            <w:proofErr w:type="spellEnd"/>
          </w:p>
          <w:p w14:paraId="4E33BBE3" w14:textId="77777777" w:rsidR="004F6E20" w:rsidRPr="004F6E20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 xml:space="preserve">P. </w:t>
            </w:r>
            <w:proofErr w:type="spellStart"/>
            <w:r w:rsidRPr="004F6E20">
              <w:rPr>
                <w:sz w:val="24"/>
                <w:szCs w:val="24"/>
              </w:rPr>
              <w:t>Hindemith</w:t>
            </w:r>
            <w:proofErr w:type="spellEnd"/>
            <w:r w:rsidRPr="004F6E20">
              <w:rPr>
                <w:sz w:val="24"/>
                <w:szCs w:val="24"/>
              </w:rPr>
              <w:t xml:space="preserve"> viola concerto (primo movimento)</w:t>
            </w:r>
          </w:p>
          <w:p w14:paraId="31BBC583" w14:textId="77777777" w:rsidR="004F6E20" w:rsidRPr="00963828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 xml:space="preserve">J. </w:t>
            </w:r>
            <w:proofErr w:type="spellStart"/>
            <w:r w:rsidRPr="004F6E20">
              <w:rPr>
                <w:sz w:val="24"/>
                <w:szCs w:val="24"/>
              </w:rPr>
              <w:t>Brahms</w:t>
            </w:r>
            <w:proofErr w:type="spellEnd"/>
            <w:r w:rsidRPr="004F6E20">
              <w:rPr>
                <w:sz w:val="24"/>
                <w:szCs w:val="24"/>
              </w:rPr>
              <w:t xml:space="preserve"> Sonate per viola op 120</w:t>
            </w:r>
          </w:p>
          <w:p w14:paraId="0B950876" w14:textId="77777777" w:rsidR="00B87D97" w:rsidRPr="00963828" w:rsidRDefault="00B87D97" w:rsidP="004F6E20">
            <w:pPr>
              <w:ind w:left="128" w:hanging="91"/>
              <w:rPr>
                <w:sz w:val="24"/>
                <w:szCs w:val="24"/>
              </w:rPr>
            </w:pPr>
          </w:p>
        </w:tc>
      </w:tr>
      <w:tr w:rsidR="0087198E" w:rsidRPr="00963828" w14:paraId="6BBBB6A0" w14:textId="77777777" w:rsidTr="0087198E">
        <w:trPr>
          <w:trHeight w:val="279"/>
          <w:tblCellSpacing w:w="20" w:type="dxa"/>
        </w:trPr>
        <w:tc>
          <w:tcPr>
            <w:tcW w:w="264" w:type="pct"/>
            <w:vMerge/>
            <w:shd w:val="clear" w:color="auto" w:fill="C6D9F1"/>
            <w:textDirection w:val="btLr"/>
            <w:vAlign w:val="center"/>
          </w:tcPr>
          <w:p w14:paraId="0F86990A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  <w:vAlign w:val="center"/>
          </w:tcPr>
          <w:p w14:paraId="39A9CF01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42771FF2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Violoncello</w:t>
            </w:r>
          </w:p>
        </w:tc>
        <w:tc>
          <w:tcPr>
            <w:tcW w:w="3115" w:type="pct"/>
            <w:vAlign w:val="center"/>
          </w:tcPr>
          <w:p w14:paraId="6F1164CC" w14:textId="77777777" w:rsidR="004F6E20" w:rsidRPr="004F6E20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>Scale a quattro ottave</w:t>
            </w:r>
          </w:p>
          <w:p w14:paraId="0954D6CE" w14:textId="77777777" w:rsidR="004F6E20" w:rsidRPr="004F6E20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>Perfezionamento di 4 Studi Estratti</w:t>
            </w:r>
          </w:p>
          <w:p w14:paraId="16C15782" w14:textId="77777777" w:rsidR="004F6E20" w:rsidRPr="004F6E20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6E20">
              <w:rPr>
                <w:sz w:val="24"/>
                <w:szCs w:val="24"/>
              </w:rPr>
              <w:t xml:space="preserve">Testo: </w:t>
            </w:r>
            <w:proofErr w:type="spellStart"/>
            <w:r w:rsidRPr="004F6E20">
              <w:rPr>
                <w:sz w:val="24"/>
                <w:szCs w:val="24"/>
              </w:rPr>
              <w:t>J.L.Duport</w:t>
            </w:r>
            <w:proofErr w:type="spellEnd"/>
            <w:r w:rsidRPr="004F6E20">
              <w:rPr>
                <w:sz w:val="24"/>
                <w:szCs w:val="24"/>
              </w:rPr>
              <w:t xml:space="preserve"> 21 studi (ed. </w:t>
            </w:r>
            <w:proofErr w:type="spellStart"/>
            <w:r w:rsidRPr="004F6E20">
              <w:rPr>
                <w:sz w:val="24"/>
                <w:szCs w:val="24"/>
              </w:rPr>
              <w:t>Peters</w:t>
            </w:r>
            <w:proofErr w:type="spellEnd"/>
            <w:r w:rsidRPr="004F6E20">
              <w:rPr>
                <w:sz w:val="24"/>
                <w:szCs w:val="24"/>
              </w:rPr>
              <w:t>)</w:t>
            </w:r>
          </w:p>
          <w:p w14:paraId="1246D252" w14:textId="77777777" w:rsidR="004F6E20" w:rsidRPr="004F6E20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6E20">
              <w:rPr>
                <w:sz w:val="24"/>
                <w:szCs w:val="24"/>
              </w:rPr>
              <w:t xml:space="preserve">Testo: Scale e Arpeggi per </w:t>
            </w:r>
            <w:proofErr w:type="spellStart"/>
            <w:r w:rsidRPr="004F6E20">
              <w:rPr>
                <w:sz w:val="24"/>
                <w:szCs w:val="24"/>
              </w:rPr>
              <w:t>vcl</w:t>
            </w:r>
            <w:proofErr w:type="spellEnd"/>
            <w:r w:rsidRPr="004F6E20">
              <w:rPr>
                <w:sz w:val="24"/>
                <w:szCs w:val="24"/>
              </w:rPr>
              <w:t xml:space="preserve"> di </w:t>
            </w:r>
            <w:proofErr w:type="spellStart"/>
            <w:r w:rsidRPr="004F6E20">
              <w:rPr>
                <w:sz w:val="24"/>
                <w:szCs w:val="24"/>
              </w:rPr>
              <w:t>Mazzacurati</w:t>
            </w:r>
            <w:proofErr w:type="spellEnd"/>
            <w:r w:rsidRPr="004F6E20">
              <w:rPr>
                <w:sz w:val="24"/>
                <w:szCs w:val="24"/>
              </w:rPr>
              <w:t xml:space="preserve"> ed. Carisch</w:t>
            </w:r>
          </w:p>
          <w:p w14:paraId="41FF6131" w14:textId="77777777" w:rsidR="004F6E20" w:rsidRPr="004F6E20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 xml:space="preserve">2 Capricci di </w:t>
            </w:r>
            <w:proofErr w:type="spellStart"/>
            <w:r w:rsidRPr="004F6E20">
              <w:rPr>
                <w:sz w:val="24"/>
                <w:szCs w:val="24"/>
              </w:rPr>
              <w:t>A.F.Servais</w:t>
            </w:r>
            <w:proofErr w:type="spellEnd"/>
          </w:p>
          <w:p w14:paraId="7D4060A0" w14:textId="77777777" w:rsidR="004F6E20" w:rsidRPr="004F6E20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F6E20">
              <w:rPr>
                <w:sz w:val="24"/>
                <w:szCs w:val="24"/>
              </w:rPr>
              <w:t xml:space="preserve">Testo: </w:t>
            </w:r>
            <w:proofErr w:type="spellStart"/>
            <w:r w:rsidRPr="004F6E20">
              <w:rPr>
                <w:sz w:val="24"/>
                <w:szCs w:val="24"/>
              </w:rPr>
              <w:t>Servais</w:t>
            </w:r>
            <w:proofErr w:type="spellEnd"/>
            <w:r w:rsidRPr="004F6E20">
              <w:rPr>
                <w:sz w:val="24"/>
                <w:szCs w:val="24"/>
              </w:rPr>
              <w:t xml:space="preserve"> </w:t>
            </w:r>
            <w:proofErr w:type="spellStart"/>
            <w:r w:rsidRPr="004F6E20">
              <w:rPr>
                <w:sz w:val="24"/>
                <w:szCs w:val="24"/>
              </w:rPr>
              <w:t>six</w:t>
            </w:r>
            <w:proofErr w:type="spellEnd"/>
            <w:r w:rsidRPr="004F6E20">
              <w:rPr>
                <w:sz w:val="24"/>
                <w:szCs w:val="24"/>
              </w:rPr>
              <w:t xml:space="preserve"> </w:t>
            </w:r>
            <w:proofErr w:type="spellStart"/>
            <w:r w:rsidRPr="004F6E20">
              <w:rPr>
                <w:sz w:val="24"/>
                <w:szCs w:val="24"/>
              </w:rPr>
              <w:t>Caprices</w:t>
            </w:r>
            <w:proofErr w:type="spellEnd"/>
            <w:r w:rsidRPr="004F6E20">
              <w:rPr>
                <w:sz w:val="24"/>
                <w:szCs w:val="24"/>
              </w:rPr>
              <w:t xml:space="preserve"> ed. IMC</w:t>
            </w:r>
          </w:p>
          <w:p w14:paraId="29C7D370" w14:textId="77777777" w:rsidR="004F6E20" w:rsidRPr="004F6E20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 xml:space="preserve">Un concerto per </w:t>
            </w:r>
            <w:proofErr w:type="spellStart"/>
            <w:r w:rsidRPr="004F6E20">
              <w:rPr>
                <w:sz w:val="24"/>
                <w:szCs w:val="24"/>
              </w:rPr>
              <w:t>vcl</w:t>
            </w:r>
            <w:proofErr w:type="spellEnd"/>
            <w:r w:rsidRPr="004F6E20">
              <w:rPr>
                <w:sz w:val="24"/>
                <w:szCs w:val="24"/>
              </w:rPr>
              <w:t xml:space="preserve"> e orchestra</w:t>
            </w:r>
          </w:p>
          <w:p w14:paraId="72072628" w14:textId="77777777" w:rsidR="00B87D97" w:rsidRDefault="004F6E20" w:rsidP="004F6E20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>Studio passi  Musica da camera e LMI</w:t>
            </w:r>
          </w:p>
          <w:p w14:paraId="174FCEC2" w14:textId="77777777" w:rsidR="004F6E20" w:rsidRDefault="004F6E20" w:rsidP="004F6E20">
            <w:pPr>
              <w:ind w:left="37"/>
              <w:rPr>
                <w:sz w:val="24"/>
                <w:szCs w:val="24"/>
              </w:rPr>
            </w:pPr>
          </w:p>
        </w:tc>
      </w:tr>
      <w:tr w:rsidR="0087198E" w:rsidRPr="00963828" w14:paraId="4C76647D" w14:textId="77777777" w:rsidTr="0087198E">
        <w:trPr>
          <w:trHeight w:val="279"/>
          <w:tblCellSpacing w:w="20" w:type="dxa"/>
        </w:trPr>
        <w:tc>
          <w:tcPr>
            <w:tcW w:w="264" w:type="pct"/>
            <w:vMerge/>
            <w:shd w:val="clear" w:color="auto" w:fill="C6D9F1"/>
            <w:textDirection w:val="btLr"/>
            <w:vAlign w:val="center"/>
          </w:tcPr>
          <w:p w14:paraId="1B5A0346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  <w:vAlign w:val="center"/>
          </w:tcPr>
          <w:p w14:paraId="673C64AD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2EF2F4C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Contrabbasso</w:t>
            </w:r>
          </w:p>
        </w:tc>
        <w:tc>
          <w:tcPr>
            <w:tcW w:w="3115" w:type="pct"/>
            <w:vAlign w:val="center"/>
          </w:tcPr>
          <w:p w14:paraId="7CF6200B" w14:textId="77777777" w:rsidR="0087198E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Tecnica esecutiva</w:t>
            </w:r>
          </w:p>
          <w:p w14:paraId="093830FF" w14:textId="77777777" w:rsidR="00B44A84" w:rsidRPr="00B44A84" w:rsidRDefault="00B44A84" w:rsidP="00B44A84">
            <w:pPr>
              <w:ind w:left="204" w:hanging="167"/>
              <w:rPr>
                <w:sz w:val="24"/>
                <w:szCs w:val="24"/>
              </w:rPr>
            </w:pPr>
          </w:p>
          <w:p w14:paraId="4BBC68CC" w14:textId="77777777" w:rsidR="00B44A84" w:rsidRDefault="00B44A84" w:rsidP="00B44A84">
            <w:pPr>
              <w:ind w:left="204" w:hanging="167"/>
              <w:rPr>
                <w:sz w:val="24"/>
                <w:szCs w:val="24"/>
              </w:rPr>
            </w:pPr>
            <w:r w:rsidRPr="00B44A84">
              <w:rPr>
                <w:sz w:val="24"/>
                <w:szCs w:val="24"/>
              </w:rPr>
              <w:t>Scale e arpeggi</w:t>
            </w:r>
          </w:p>
          <w:p w14:paraId="160D42DD" w14:textId="77777777" w:rsidR="00E9555E" w:rsidRPr="00B44A84" w:rsidRDefault="00E9555E" w:rsidP="00B44A84">
            <w:pPr>
              <w:ind w:left="204" w:hanging="167"/>
              <w:rPr>
                <w:sz w:val="24"/>
                <w:szCs w:val="24"/>
              </w:rPr>
            </w:pPr>
          </w:p>
          <w:p w14:paraId="15CAC937" w14:textId="77777777" w:rsidR="00B44A84" w:rsidRPr="00E9555E" w:rsidRDefault="00B44A84" w:rsidP="00B44A84">
            <w:pPr>
              <w:ind w:firstLine="37"/>
              <w:rPr>
                <w:i/>
                <w:sz w:val="24"/>
                <w:szCs w:val="24"/>
              </w:rPr>
            </w:pPr>
            <w:r w:rsidRPr="00E9555E">
              <w:rPr>
                <w:i/>
                <w:sz w:val="24"/>
                <w:szCs w:val="24"/>
              </w:rPr>
              <w:t>Esercizi e studi tecnici di differente meccanismo</w:t>
            </w:r>
          </w:p>
          <w:p w14:paraId="1F960DE9" w14:textId="77777777" w:rsidR="00B44A84" w:rsidRDefault="00B44A84" w:rsidP="00B44A84">
            <w:pPr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Esercizi e </w:t>
            </w:r>
            <w:r w:rsidRPr="00B44A84">
              <w:rPr>
                <w:sz w:val="24"/>
                <w:szCs w:val="24"/>
              </w:rPr>
              <w:t>studi finalizzati ai seguenti aspetti:</w:t>
            </w:r>
          </w:p>
          <w:p w14:paraId="5AA06FB2" w14:textId="77777777" w:rsidR="00B44A84" w:rsidRDefault="00B44A84" w:rsidP="00B44A84">
            <w:pPr>
              <w:ind w:left="204" w:hanging="167"/>
              <w:rPr>
                <w:sz w:val="24"/>
                <w:szCs w:val="24"/>
              </w:rPr>
            </w:pPr>
          </w:p>
          <w:p w14:paraId="57E9E783" w14:textId="77777777" w:rsidR="004F6E20" w:rsidRPr="004F6E20" w:rsidRDefault="004F6E20" w:rsidP="004F6E20">
            <w:pPr>
              <w:ind w:left="204" w:hanging="167"/>
              <w:rPr>
                <w:sz w:val="24"/>
                <w:szCs w:val="24"/>
              </w:rPr>
            </w:pPr>
            <w:r w:rsidRPr="004F6E20">
              <w:rPr>
                <w:sz w:val="24"/>
                <w:szCs w:val="24"/>
              </w:rPr>
              <w:t>Tecnica della mano sinistra:</w:t>
            </w:r>
          </w:p>
          <w:p w14:paraId="4363835A" w14:textId="77777777" w:rsidR="004F6E20" w:rsidRPr="004F6E20" w:rsidRDefault="004F6E20" w:rsidP="004F6E20">
            <w:pPr>
              <w:ind w:left="204" w:hanging="167"/>
              <w:rPr>
                <w:sz w:val="24"/>
                <w:szCs w:val="24"/>
              </w:rPr>
            </w:pPr>
            <w:r w:rsidRPr="004F6E20">
              <w:rPr>
                <w:sz w:val="24"/>
                <w:szCs w:val="24"/>
              </w:rPr>
              <w:t>- scale e arpeggi maggiori e minori nell’estensione di due/tre ottave - sviluppo della tecnica delle corde doppie</w:t>
            </w:r>
          </w:p>
          <w:p w14:paraId="5BB2E9B6" w14:textId="77777777" w:rsidR="000D4F20" w:rsidRDefault="004F6E20" w:rsidP="004F6E20">
            <w:pPr>
              <w:ind w:left="204" w:hanging="167"/>
              <w:rPr>
                <w:sz w:val="24"/>
                <w:szCs w:val="24"/>
              </w:rPr>
            </w:pPr>
            <w:r w:rsidRPr="004F6E20">
              <w:rPr>
                <w:sz w:val="24"/>
                <w:szCs w:val="24"/>
              </w:rPr>
              <w:t>- studio degli armonici naturali</w:t>
            </w:r>
          </w:p>
          <w:p w14:paraId="79BCD909" w14:textId="77777777" w:rsidR="00446FF3" w:rsidRPr="00B44A84" w:rsidRDefault="00446FF3" w:rsidP="000D4F20">
            <w:pPr>
              <w:ind w:left="204" w:hanging="167"/>
              <w:rPr>
                <w:sz w:val="24"/>
                <w:szCs w:val="24"/>
              </w:rPr>
            </w:pPr>
          </w:p>
          <w:p w14:paraId="5CDF1A04" w14:textId="77777777" w:rsidR="00B44A84" w:rsidRPr="00B44A84" w:rsidRDefault="00B44A84" w:rsidP="00B44A84">
            <w:pPr>
              <w:ind w:left="204" w:hanging="167"/>
              <w:rPr>
                <w:sz w:val="24"/>
                <w:szCs w:val="24"/>
              </w:rPr>
            </w:pPr>
            <w:r w:rsidRPr="00B44A84">
              <w:rPr>
                <w:sz w:val="24"/>
                <w:szCs w:val="24"/>
              </w:rPr>
              <w:t>Tecnica dell’arco</w:t>
            </w:r>
          </w:p>
          <w:p w14:paraId="75F5ED15" w14:textId="77777777" w:rsidR="000D4F20" w:rsidRPr="000D4F20" w:rsidRDefault="000D4F20" w:rsidP="000D4F20">
            <w:pPr>
              <w:ind w:left="204" w:hanging="167"/>
              <w:rPr>
                <w:sz w:val="24"/>
                <w:szCs w:val="24"/>
              </w:rPr>
            </w:pPr>
            <w:r w:rsidRPr="000D4F20">
              <w:rPr>
                <w:sz w:val="24"/>
                <w:szCs w:val="24"/>
              </w:rPr>
              <w:t xml:space="preserve">- </w:t>
            </w:r>
            <w:r w:rsidR="004F6E20" w:rsidRPr="004F6E20">
              <w:rPr>
                <w:sz w:val="24"/>
                <w:szCs w:val="24"/>
              </w:rPr>
              <w:t>conoscenza e sicurezza di esecuzione dei colpi d’arco di media/alta difficoltà</w:t>
            </w:r>
          </w:p>
          <w:p w14:paraId="76953277" w14:textId="77777777" w:rsidR="00446FF3" w:rsidRDefault="004F6E20" w:rsidP="000D4F20">
            <w:pPr>
              <w:ind w:left="204" w:hanging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</w:t>
            </w:r>
            <w:r w:rsidRPr="004F6E20">
              <w:rPr>
                <w:sz w:val="24"/>
                <w:szCs w:val="24"/>
              </w:rPr>
              <w:t>sercizi e studi tecnici relativi alle abilità elencate</w:t>
            </w:r>
          </w:p>
          <w:p w14:paraId="54BDF88A" w14:textId="77777777" w:rsidR="00B44A84" w:rsidRPr="00B44A84" w:rsidRDefault="00B44A84" w:rsidP="00B44A84">
            <w:pPr>
              <w:ind w:left="204" w:hanging="167"/>
              <w:rPr>
                <w:sz w:val="24"/>
                <w:szCs w:val="24"/>
              </w:rPr>
            </w:pPr>
          </w:p>
          <w:p w14:paraId="16F4A2F9" w14:textId="77777777" w:rsidR="00B44A84" w:rsidRDefault="00824C60" w:rsidP="00B44A84">
            <w:pPr>
              <w:ind w:left="204" w:hanging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</w:t>
            </w:r>
          </w:p>
          <w:p w14:paraId="421CDFF5" w14:textId="77777777" w:rsidR="00B44A84" w:rsidRPr="00B44A84" w:rsidRDefault="00B44A84" w:rsidP="00B44A84">
            <w:pPr>
              <w:ind w:left="204" w:hanging="167"/>
              <w:rPr>
                <w:sz w:val="24"/>
                <w:szCs w:val="24"/>
              </w:rPr>
            </w:pPr>
            <w:r w:rsidRPr="00B44A84">
              <w:rPr>
                <w:sz w:val="24"/>
                <w:szCs w:val="24"/>
              </w:rPr>
              <w:t>Esercizi e Studi</w:t>
            </w:r>
          </w:p>
          <w:p w14:paraId="68C88801" w14:textId="77777777" w:rsidR="004F6E20" w:rsidRPr="004F6E20" w:rsidRDefault="004F6E20" w:rsidP="004F6E20">
            <w:pPr>
              <w:ind w:left="204" w:hanging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F6E20">
              <w:rPr>
                <w:sz w:val="24"/>
                <w:szCs w:val="24"/>
              </w:rPr>
              <w:t>Bille</w:t>
            </w:r>
            <w:proofErr w:type="spellEnd"/>
            <w:r w:rsidRPr="004F6E20">
              <w:rPr>
                <w:sz w:val="24"/>
                <w:szCs w:val="24"/>
              </w:rPr>
              <w:t>̀, Nuovo metodo per contrabbasso a 4 e 5 corde, Ricordi</w:t>
            </w:r>
          </w:p>
          <w:p w14:paraId="70166B92" w14:textId="77777777" w:rsidR="004F6E20" w:rsidRPr="004F6E20" w:rsidRDefault="004F6E20" w:rsidP="004F6E20">
            <w:pPr>
              <w:ind w:left="204" w:hanging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 xml:space="preserve">F. </w:t>
            </w:r>
            <w:proofErr w:type="spellStart"/>
            <w:r w:rsidRPr="004F6E20">
              <w:rPr>
                <w:sz w:val="24"/>
                <w:szCs w:val="24"/>
              </w:rPr>
              <w:t>Simandl</w:t>
            </w:r>
            <w:proofErr w:type="spellEnd"/>
            <w:r w:rsidRPr="004F6E20">
              <w:rPr>
                <w:sz w:val="24"/>
                <w:szCs w:val="24"/>
              </w:rPr>
              <w:t>, Nuovo metodo per contrabbasso, Lucas Drew</w:t>
            </w:r>
          </w:p>
          <w:p w14:paraId="2729BEBF" w14:textId="77777777" w:rsidR="004F6E20" w:rsidRPr="004F6E20" w:rsidRDefault="004F6E20" w:rsidP="004F6E20">
            <w:pPr>
              <w:ind w:left="204" w:hanging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 xml:space="preserve">O. </w:t>
            </w:r>
            <w:proofErr w:type="spellStart"/>
            <w:r w:rsidRPr="004F6E20">
              <w:rPr>
                <w:sz w:val="24"/>
                <w:szCs w:val="24"/>
              </w:rPr>
              <w:t>Sevcik</w:t>
            </w:r>
            <w:proofErr w:type="spellEnd"/>
            <w:r w:rsidRPr="004F6E20">
              <w:rPr>
                <w:sz w:val="24"/>
                <w:szCs w:val="24"/>
              </w:rPr>
              <w:t xml:space="preserve">, </w:t>
            </w:r>
            <w:proofErr w:type="spellStart"/>
            <w:r w:rsidRPr="004F6E20">
              <w:rPr>
                <w:sz w:val="24"/>
                <w:szCs w:val="24"/>
              </w:rPr>
              <w:t>Bogenstudien</w:t>
            </w:r>
            <w:proofErr w:type="spellEnd"/>
            <w:r w:rsidRPr="004F6E20">
              <w:rPr>
                <w:sz w:val="24"/>
                <w:szCs w:val="24"/>
              </w:rPr>
              <w:t xml:space="preserve">, op. 2, </w:t>
            </w:r>
            <w:proofErr w:type="spellStart"/>
            <w:r w:rsidRPr="004F6E20">
              <w:rPr>
                <w:sz w:val="24"/>
                <w:szCs w:val="24"/>
              </w:rPr>
              <w:t>Bosworth</w:t>
            </w:r>
            <w:proofErr w:type="spellEnd"/>
          </w:p>
          <w:p w14:paraId="07875EDC" w14:textId="77777777" w:rsidR="00B44A84" w:rsidRDefault="004F6E20" w:rsidP="004F6E20">
            <w:pPr>
              <w:ind w:left="204" w:hanging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>W. Sturm, 110 Studi</w:t>
            </w:r>
          </w:p>
          <w:p w14:paraId="6F4EDD9C" w14:textId="77777777" w:rsidR="004F6E20" w:rsidRDefault="004F6E20" w:rsidP="000D4F20">
            <w:pPr>
              <w:ind w:left="204" w:hanging="167"/>
              <w:rPr>
                <w:sz w:val="24"/>
                <w:szCs w:val="24"/>
              </w:rPr>
            </w:pPr>
          </w:p>
          <w:p w14:paraId="3F9892A6" w14:textId="77777777" w:rsidR="0087198E" w:rsidRDefault="0087198E" w:rsidP="0087198E">
            <w:pPr>
              <w:ind w:left="63" w:hanging="26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Interpretazione e repertorio</w:t>
            </w:r>
          </w:p>
          <w:p w14:paraId="5B3EB036" w14:textId="77777777" w:rsidR="00E82173" w:rsidRPr="001515C6" w:rsidRDefault="00E82173" w:rsidP="0087198E">
            <w:pPr>
              <w:ind w:left="63" w:hanging="26"/>
              <w:rPr>
                <w:sz w:val="24"/>
                <w:szCs w:val="24"/>
                <w:u w:val="single"/>
              </w:rPr>
            </w:pPr>
          </w:p>
          <w:p w14:paraId="0EFAF384" w14:textId="77777777" w:rsidR="0087198E" w:rsidRDefault="00B44A84" w:rsidP="00B44A84">
            <w:pPr>
              <w:ind w:left="128" w:hanging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6E20" w:rsidRPr="004F6E20">
              <w:rPr>
                <w:sz w:val="24"/>
                <w:szCs w:val="24"/>
              </w:rPr>
              <w:t>Scelta di pezzi di autori e stili differenti o studi a carattere melodico/espressivo</w:t>
            </w:r>
          </w:p>
          <w:p w14:paraId="4C5CD802" w14:textId="77777777" w:rsidR="00E82173" w:rsidRDefault="00E82173" w:rsidP="0087198E">
            <w:pPr>
              <w:ind w:left="63" w:hanging="26"/>
              <w:rPr>
                <w:sz w:val="24"/>
                <w:szCs w:val="24"/>
              </w:rPr>
            </w:pPr>
          </w:p>
          <w:p w14:paraId="20D7A264" w14:textId="77777777" w:rsidR="004F6E20" w:rsidRDefault="00824C60" w:rsidP="004F6E20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</w:t>
            </w:r>
          </w:p>
          <w:p w14:paraId="0B7D8BC1" w14:textId="77777777" w:rsidR="004F6E20" w:rsidRPr="004F6E20" w:rsidRDefault="004F6E20" w:rsidP="004F6E20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>Giovannino, Sonata</w:t>
            </w:r>
          </w:p>
          <w:p w14:paraId="6A673225" w14:textId="77777777" w:rsidR="004F6E20" w:rsidRPr="004F6E20" w:rsidRDefault="004F6E20" w:rsidP="004F6E20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F6E20">
              <w:rPr>
                <w:sz w:val="24"/>
                <w:szCs w:val="24"/>
              </w:rPr>
              <w:t>B. Marcello, Sonata in La minore</w:t>
            </w:r>
          </w:p>
          <w:p w14:paraId="13FB96C7" w14:textId="77777777" w:rsidR="004F6E20" w:rsidRPr="004F6E20" w:rsidRDefault="004F6E20" w:rsidP="004F6E20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F6E20">
              <w:rPr>
                <w:sz w:val="24"/>
                <w:szCs w:val="24"/>
              </w:rPr>
              <w:t>Eccles</w:t>
            </w:r>
            <w:proofErr w:type="spellEnd"/>
            <w:r w:rsidRPr="004F6E20">
              <w:rPr>
                <w:sz w:val="24"/>
                <w:szCs w:val="24"/>
              </w:rPr>
              <w:t>, Sonata in Sol minore</w:t>
            </w:r>
          </w:p>
          <w:p w14:paraId="35D401E5" w14:textId="77777777" w:rsidR="004F6E20" w:rsidRPr="004F6E20" w:rsidRDefault="004F6E20" w:rsidP="004F6E20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F6E20">
              <w:rPr>
                <w:sz w:val="24"/>
                <w:szCs w:val="24"/>
              </w:rPr>
              <w:t>Dittersdorf</w:t>
            </w:r>
            <w:proofErr w:type="spellEnd"/>
            <w:r w:rsidRPr="004F6E20">
              <w:rPr>
                <w:sz w:val="24"/>
                <w:szCs w:val="24"/>
              </w:rPr>
              <w:t>, Concerto</w:t>
            </w:r>
          </w:p>
          <w:p w14:paraId="21599179" w14:textId="77777777" w:rsidR="004F6E20" w:rsidRPr="004F6E20" w:rsidRDefault="004F6E20" w:rsidP="004F6E20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>Vivaldi, Sonate</w:t>
            </w:r>
          </w:p>
          <w:p w14:paraId="042E9C49" w14:textId="77777777" w:rsidR="004F6E20" w:rsidRPr="004F6E20" w:rsidRDefault="004F6E20" w:rsidP="004F6E20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F6E20">
              <w:rPr>
                <w:sz w:val="24"/>
                <w:szCs w:val="24"/>
              </w:rPr>
              <w:t>Capuzzi</w:t>
            </w:r>
            <w:proofErr w:type="spellEnd"/>
            <w:r w:rsidRPr="004F6E20">
              <w:rPr>
                <w:sz w:val="24"/>
                <w:szCs w:val="24"/>
              </w:rPr>
              <w:t>, Concerto in Re maggiore</w:t>
            </w:r>
          </w:p>
          <w:p w14:paraId="0B2E6162" w14:textId="77777777" w:rsidR="004F6E20" w:rsidRPr="004F6E20" w:rsidRDefault="004F6E20" w:rsidP="004F6E20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>Dragonetti, Andante e Rondò</w:t>
            </w:r>
          </w:p>
          <w:p w14:paraId="0D5A9D4F" w14:textId="77777777" w:rsidR="004F6E20" w:rsidRPr="004F6E20" w:rsidRDefault="004F6E20" w:rsidP="004F6E20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F6E20">
              <w:rPr>
                <w:sz w:val="24"/>
                <w:szCs w:val="24"/>
              </w:rPr>
              <w:t>Cimador</w:t>
            </w:r>
            <w:proofErr w:type="spellEnd"/>
            <w:r w:rsidRPr="004F6E20">
              <w:rPr>
                <w:sz w:val="24"/>
                <w:szCs w:val="24"/>
              </w:rPr>
              <w:t>, Concerto per contrabbasso e archi</w:t>
            </w:r>
          </w:p>
          <w:p w14:paraId="685195B8" w14:textId="77777777" w:rsidR="00824C60" w:rsidRDefault="004F6E20" w:rsidP="00824C60">
            <w:pPr>
              <w:ind w:left="128" w:hanging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E20">
              <w:rPr>
                <w:sz w:val="24"/>
                <w:szCs w:val="24"/>
              </w:rPr>
              <w:t xml:space="preserve">AA. VV., </w:t>
            </w:r>
            <w:proofErr w:type="spellStart"/>
            <w:r w:rsidRPr="004F6E20">
              <w:rPr>
                <w:sz w:val="24"/>
                <w:szCs w:val="24"/>
              </w:rPr>
              <w:t>Orchestral</w:t>
            </w:r>
            <w:proofErr w:type="spellEnd"/>
            <w:r w:rsidRPr="004F6E20">
              <w:rPr>
                <w:sz w:val="24"/>
                <w:szCs w:val="24"/>
              </w:rPr>
              <w:t xml:space="preserve"> </w:t>
            </w:r>
            <w:proofErr w:type="spellStart"/>
            <w:r w:rsidRPr="004F6E20">
              <w:rPr>
                <w:sz w:val="24"/>
                <w:szCs w:val="24"/>
              </w:rPr>
              <w:t>Excerpts</w:t>
            </w:r>
            <w:proofErr w:type="spellEnd"/>
            <w:r w:rsidRPr="004F6E20">
              <w:rPr>
                <w:sz w:val="24"/>
                <w:szCs w:val="24"/>
              </w:rPr>
              <w:t>, vol. I-VII, New York International Music</w:t>
            </w:r>
          </w:p>
          <w:p w14:paraId="1CE9B2A0" w14:textId="77777777" w:rsidR="00824C60" w:rsidRDefault="00824C60" w:rsidP="00824C60">
            <w:pPr>
              <w:ind w:left="128" w:hanging="9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198E" w:rsidRPr="00963828" w14:paraId="46E78460" w14:textId="77777777" w:rsidTr="0087198E">
        <w:trPr>
          <w:trHeight w:val="277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74F9EA5F" w14:textId="77777777" w:rsidR="0087198E" w:rsidRPr="00963828" w:rsidRDefault="0087198E" w:rsidP="00453009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C6D9F1"/>
            <w:vAlign w:val="center"/>
          </w:tcPr>
          <w:p w14:paraId="32A12BFC" w14:textId="77777777" w:rsidR="0087198E" w:rsidRPr="00963828" w:rsidRDefault="0087198E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6C21248E" w14:textId="77777777" w:rsidR="0087198E" w:rsidRPr="00963828" w:rsidRDefault="0087198E" w:rsidP="00505813">
            <w:pPr>
              <w:jc w:val="center"/>
            </w:pPr>
          </w:p>
        </w:tc>
        <w:tc>
          <w:tcPr>
            <w:tcW w:w="3915" w:type="pct"/>
            <w:gridSpan w:val="3"/>
          </w:tcPr>
          <w:p w14:paraId="4E845CC3" w14:textId="77777777" w:rsidR="00824C60" w:rsidRPr="00963828" w:rsidRDefault="004F6E20" w:rsidP="00453009">
            <w:pPr>
              <w:ind w:left="37"/>
              <w:rPr>
                <w:sz w:val="24"/>
                <w:szCs w:val="24"/>
              </w:rPr>
            </w:pPr>
            <w:r w:rsidRPr="004F6E20">
              <w:rPr>
                <w:sz w:val="24"/>
                <w:szCs w:val="24"/>
              </w:rPr>
              <w:t xml:space="preserve">Oltre al consolidamento delle competenze già acquisite (in particolare nello sviluppo dell'autonomia di studio anche in un tempo dato), per il primo strumento lo studente conosce e sa interpretare i capisaldi (autori, metodi e composizioni) della letteratura solistica e d’insieme, rappresentativi dei diversi momenti e contesti della storia della musica, fino all’età contemporanea. Dà prova di saper mantenere un adeguato equilibrio psicofisico nell’esecuzione anche mnemonica di opere complesse e di saper motivare le proprie scelte espressive. </w:t>
            </w:r>
            <w:proofErr w:type="spellStart"/>
            <w:r w:rsidRPr="004F6E20">
              <w:rPr>
                <w:sz w:val="24"/>
                <w:szCs w:val="24"/>
              </w:rPr>
              <w:t>Sà</w:t>
            </w:r>
            <w:proofErr w:type="spellEnd"/>
            <w:r w:rsidRPr="004F6E20">
              <w:rPr>
                <w:sz w:val="24"/>
                <w:szCs w:val="24"/>
              </w:rPr>
              <w:t xml:space="preserve"> altresì adottare e applicare in adeguati contesti esecutivi, strategie finalizzate alla lettura a prima vista, al trasporto, alla memorizzazione e all’improvvisazione, nonché all’apprendimento di un brano in un tempo dato. </w:t>
            </w:r>
            <w:proofErr w:type="spellStart"/>
            <w:r w:rsidRPr="004F6E20">
              <w:rPr>
                <w:sz w:val="24"/>
                <w:szCs w:val="24"/>
              </w:rPr>
              <w:t>Sà</w:t>
            </w:r>
            <w:proofErr w:type="spellEnd"/>
            <w:r w:rsidRPr="004F6E20">
              <w:rPr>
                <w:sz w:val="24"/>
                <w:szCs w:val="24"/>
              </w:rPr>
              <w:t xml:space="preserve"> utilizzare tecniche adeguate all’esecuzione di composizioni significative di epoche, generi, stili e tradizioni musicali diverse, dando prova di possedere le necessarie conoscenze storiche e stilistiche, nonché di aver compreso le poetiche dei diversi autori presentati.</w:t>
            </w:r>
          </w:p>
        </w:tc>
      </w:tr>
      <w:tr w:rsidR="0087198E" w:rsidRPr="00963828" w14:paraId="179933C5" w14:textId="77777777" w:rsidTr="0087198E">
        <w:trPr>
          <w:trHeight w:val="615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3ACE210E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shd w:val="clear" w:color="auto" w:fill="C6D9F1"/>
            <w:vAlign w:val="center"/>
          </w:tcPr>
          <w:p w14:paraId="10D6E92F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1FBC7469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748" w:type="pct"/>
            <w:vAlign w:val="center"/>
          </w:tcPr>
          <w:p w14:paraId="1BCAACCC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4953E0FB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31EAD2FA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pct"/>
            <w:gridSpan w:val="2"/>
          </w:tcPr>
          <w:p w14:paraId="18AC99D6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sicura, precisa e solida; capacità espressivo-interpretativa ben caratterizzata e stilisticamente coerente. Capacità gestionale - organizzativa dello studio convincente; capacità di comprensione della consegna efficace.</w:t>
            </w:r>
          </w:p>
          <w:p w14:paraId="3096787D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</w:tr>
      <w:tr w:rsidR="0087198E" w:rsidRPr="00963828" w14:paraId="7417B82A" w14:textId="77777777" w:rsidTr="0087198E">
        <w:trPr>
          <w:trHeight w:val="615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6B63D6AB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</w:tcPr>
          <w:p w14:paraId="702F509C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62345F7D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0E403121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pct"/>
            <w:gridSpan w:val="2"/>
          </w:tcPr>
          <w:p w14:paraId="4FA975FC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puntuale e tecnicamente appropriata; capacità espressivo-interpretativa chiara e stilisticamente adeguata. Capacità gestionale - organizzativa dello studio appropriata; capacità di comprensione della consegna puntuale.</w:t>
            </w:r>
          </w:p>
          <w:p w14:paraId="33202AD3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</w:tr>
      <w:tr w:rsidR="0087198E" w:rsidRPr="00963828" w14:paraId="343E3122" w14:textId="77777777" w:rsidTr="0087198E">
        <w:trPr>
          <w:trHeight w:val="615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4D012974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</w:tcPr>
          <w:p w14:paraId="40A02D45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5BF579A5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73489704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pct"/>
            <w:gridSpan w:val="2"/>
          </w:tcPr>
          <w:p w14:paraId="42D659C2" w14:textId="77777777" w:rsidR="0087198E" w:rsidRPr="00963828" w:rsidRDefault="0087198E" w:rsidP="0082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Capacità tecnico-esecutiva sufficientemente corretta e tecnicamente adeguata; capacità espressivo-interpretativa </w:t>
            </w:r>
            <w:r w:rsidRPr="001515C6">
              <w:rPr>
                <w:sz w:val="24"/>
                <w:szCs w:val="24"/>
              </w:rPr>
              <w:t>sufficientemente espressiva, appropriata e stilisticamente rispettosa</w:t>
            </w:r>
            <w:r>
              <w:rPr>
                <w:sz w:val="24"/>
                <w:szCs w:val="24"/>
              </w:rPr>
              <w:t xml:space="preserve">. Capacità gestionale - organizzativa dello studio </w:t>
            </w:r>
            <w:r w:rsidRPr="001515C6">
              <w:rPr>
                <w:sz w:val="24"/>
                <w:szCs w:val="24"/>
              </w:rPr>
              <w:t>sufficientemente gestita e adeguata alle richieste</w:t>
            </w:r>
            <w:r>
              <w:rPr>
                <w:sz w:val="24"/>
                <w:szCs w:val="24"/>
              </w:rPr>
              <w:t xml:space="preserve">; capacità di comprensione della consegna </w:t>
            </w:r>
            <w:r w:rsidRPr="001515C6">
              <w:rPr>
                <w:sz w:val="24"/>
                <w:szCs w:val="24"/>
              </w:rPr>
              <w:t>corretta e adeguata alle richieste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0EFAE08" w14:textId="77777777" w:rsidR="005A278C" w:rsidRDefault="005A278C"/>
    <w:p w14:paraId="15F44A17" w14:textId="77777777"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14:paraId="46154C09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57CB1E62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26598120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52BB7533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7C8C17CA" w14:textId="77777777" w:rsidR="00A773DD" w:rsidRPr="00963828" w:rsidRDefault="0087198E" w:rsidP="0087198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Almeno 2 valutazioni su prova pratica</w:t>
            </w:r>
          </w:p>
          <w:p w14:paraId="2579A0A9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</w:tc>
      </w:tr>
      <w:tr w:rsidR="00A773DD" w:rsidRPr="00963828" w14:paraId="118850A3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3A12CA8A" w14:textId="77777777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7DF0DEBB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1C9D9A88" w14:textId="77777777"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653E0AC7" w14:textId="77777777" w:rsidR="00A773DD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1830570D" w14:textId="77777777" w:rsidR="0087198E" w:rsidRPr="00963828" w:rsidRDefault="0087198E" w:rsidP="00487B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del dipartimento e dell'istituto</w:t>
            </w:r>
          </w:p>
        </w:tc>
      </w:tr>
    </w:tbl>
    <w:p w14:paraId="358A388F" w14:textId="77777777" w:rsidR="006D56E1" w:rsidRDefault="006D56E1"/>
    <w:p w14:paraId="12A89A66" w14:textId="77777777" w:rsidR="006D56E1" w:rsidRDefault="006D56E1"/>
    <w:p w14:paraId="6937E35D" w14:textId="77777777" w:rsidR="0021749C" w:rsidRDefault="0021749C"/>
    <w:p w14:paraId="201A5C5A" w14:textId="77777777" w:rsidR="0021749C" w:rsidRDefault="0021749C"/>
    <w:p w14:paraId="2E559BF3" w14:textId="77777777" w:rsidR="0021749C" w:rsidRDefault="0021749C"/>
    <w:p w14:paraId="254C760C" w14:textId="77777777" w:rsidR="004F6E20" w:rsidRDefault="004F6E20"/>
    <w:p w14:paraId="015969C1" w14:textId="77777777"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14:paraId="50170831" w14:textId="77777777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14:paraId="5E3AB7DA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0DABFC84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1A031C7D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0468944C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14:paraId="3B0DD385" w14:textId="77777777" w:rsidR="006D56E1" w:rsidRDefault="006D56E1" w:rsidP="003B6F93">
            <w:pPr>
              <w:ind w:left="48"/>
              <w:rPr>
                <w:sz w:val="24"/>
                <w:szCs w:val="24"/>
              </w:rPr>
            </w:pPr>
          </w:p>
          <w:p w14:paraId="1C7859BA" w14:textId="77777777" w:rsidR="0087198E" w:rsidRPr="00963828" w:rsidRDefault="0087198E" w:rsidP="003B6F93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 primo quadrimestre</w:t>
            </w:r>
          </w:p>
        </w:tc>
      </w:tr>
      <w:tr w:rsidR="006D56E1" w:rsidRPr="00963828" w14:paraId="7A9B73C0" w14:textId="77777777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1EA20E8E" w14:textId="77777777"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4A150D64" w14:textId="77777777"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24AF8AD3" w14:textId="77777777"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14:paraId="7D6D7DCA" w14:textId="77777777" w:rsidR="006D56E1" w:rsidRDefault="006D56E1" w:rsidP="003B6F93">
            <w:pPr>
              <w:ind w:left="37"/>
              <w:rPr>
                <w:sz w:val="24"/>
                <w:szCs w:val="24"/>
              </w:rPr>
            </w:pPr>
          </w:p>
          <w:p w14:paraId="6C7FB6FA" w14:textId="77777777" w:rsidR="0087198E" w:rsidRPr="00963828" w:rsidRDefault="0087198E" w:rsidP="003B6F9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 primo quadrimestre</w:t>
            </w:r>
          </w:p>
        </w:tc>
      </w:tr>
      <w:tr w:rsidR="0054609A" w:rsidRPr="00963828" w14:paraId="16B82EBB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38B49259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14:paraId="025F3514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19840474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14:paraId="78AB94DB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697A87AC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1CB3C3E7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376F3668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sicura, precisa e solida; capacità espressivo-interpretativa ben caratterizzata e stilisticamente coerente. Capacità gestionale - organizzativa dello studio convincente; capacità di comprensione della consegna efficace.</w:t>
            </w:r>
          </w:p>
          <w:p w14:paraId="4087042E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</w:tr>
      <w:tr w:rsidR="0054609A" w:rsidRPr="00963828" w14:paraId="760662E4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32E5837E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29F23E29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4D476603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472166FE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6778F94F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puntuale e tecnicamente appropriata; capacità espressivo-interpretativa chiara e stilisticamente adeguata. Capacità gestionale - organizzativa dello studio appropriata; capacità di comprensione della consegna puntuale.</w:t>
            </w:r>
          </w:p>
          <w:p w14:paraId="27014024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</w:tr>
      <w:tr w:rsidR="0054609A" w:rsidRPr="00963828" w14:paraId="4EED5D85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6E0CBF69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7A17FF46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05A9226F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449AB57F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7E319350" w14:textId="77777777" w:rsidR="0054609A" w:rsidRPr="00963828" w:rsidRDefault="0087198E" w:rsidP="0082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Capacità tecnico-esecutiva sufficientemente corretta e tecnicamente adeguata; capacità espressivo-interpretativa </w:t>
            </w:r>
            <w:r w:rsidRPr="001515C6">
              <w:rPr>
                <w:sz w:val="24"/>
                <w:szCs w:val="24"/>
              </w:rPr>
              <w:t>sufficientemente espressiva, appropriata e stilisticamente rispettosa</w:t>
            </w:r>
            <w:r>
              <w:rPr>
                <w:sz w:val="24"/>
                <w:szCs w:val="24"/>
              </w:rPr>
              <w:t xml:space="preserve">. Capacità gestionale - organizzativa dello studio </w:t>
            </w:r>
            <w:r w:rsidRPr="001515C6">
              <w:rPr>
                <w:sz w:val="24"/>
                <w:szCs w:val="24"/>
              </w:rPr>
              <w:t>sufficientemente gestita e adeguata alle richieste</w:t>
            </w:r>
            <w:r>
              <w:rPr>
                <w:sz w:val="24"/>
                <w:szCs w:val="24"/>
              </w:rPr>
              <w:t xml:space="preserve">; capacità di comprensione della consegna </w:t>
            </w:r>
            <w:r w:rsidRPr="001515C6">
              <w:rPr>
                <w:sz w:val="24"/>
                <w:szCs w:val="24"/>
              </w:rPr>
              <w:t>corretta e adeguata alle richieste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329A218" w14:textId="77777777" w:rsidR="00155953" w:rsidRDefault="00155953" w:rsidP="00505813"/>
    <w:p w14:paraId="6F3C1FF9" w14:textId="77777777"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14:paraId="2629ACCB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70A38892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4CBB3636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451B821E" w14:textId="77777777" w:rsidR="0087198E" w:rsidRDefault="0087198E" w:rsidP="0087198E">
            <w:pPr>
              <w:ind w:hanging="2"/>
              <w:rPr>
                <w:sz w:val="24"/>
                <w:szCs w:val="24"/>
              </w:rPr>
            </w:pPr>
          </w:p>
          <w:p w14:paraId="4B5BA432" w14:textId="77777777" w:rsidR="006D56E1" w:rsidRDefault="0087198E" w:rsidP="0087198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Almeno 2 valutazioni su prova pratica</w:t>
            </w:r>
          </w:p>
          <w:p w14:paraId="15B6F034" w14:textId="77777777" w:rsidR="0087198E" w:rsidRPr="00963828" w:rsidRDefault="0087198E" w:rsidP="003B6F93">
            <w:pPr>
              <w:ind w:left="37"/>
              <w:rPr>
                <w:sz w:val="24"/>
                <w:szCs w:val="24"/>
              </w:rPr>
            </w:pPr>
          </w:p>
        </w:tc>
      </w:tr>
      <w:tr w:rsidR="006D56E1" w:rsidRPr="00963828" w14:paraId="17FCF5F2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27D6C08A" w14:textId="77777777"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74A52AF9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7F6E7F2D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4D11D0C4" w14:textId="77777777" w:rsidR="0087198E" w:rsidRDefault="0087198E" w:rsidP="003B6F93">
            <w:pPr>
              <w:ind w:left="37"/>
              <w:rPr>
                <w:sz w:val="24"/>
                <w:szCs w:val="24"/>
              </w:rPr>
            </w:pPr>
          </w:p>
          <w:p w14:paraId="3F82CCF0" w14:textId="77777777" w:rsidR="006D56E1" w:rsidRPr="00963828" w:rsidRDefault="0087198E" w:rsidP="003B6F9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del dipartimento e dell'istituto</w:t>
            </w:r>
          </w:p>
        </w:tc>
      </w:tr>
    </w:tbl>
    <w:p w14:paraId="5E7407D3" w14:textId="77777777"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4304F" w14:textId="77777777" w:rsidR="000D4F20" w:rsidRDefault="000D4F20" w:rsidP="00C81B59">
      <w:r>
        <w:separator/>
      </w:r>
    </w:p>
  </w:endnote>
  <w:endnote w:type="continuationSeparator" w:id="0">
    <w:p w14:paraId="7FB78FD7" w14:textId="77777777" w:rsidR="000D4F20" w:rsidRDefault="000D4F20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AD8E" w14:textId="77777777" w:rsidR="000D4F20" w:rsidRDefault="000D4F20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24C6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24C60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271DD3B0" w14:textId="77777777" w:rsidR="000D4F20" w:rsidRDefault="000D4F2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D0B5C" w14:textId="77777777" w:rsidR="000D4F20" w:rsidRDefault="000D4F20" w:rsidP="00C81B59">
      <w:r>
        <w:separator/>
      </w:r>
    </w:p>
  </w:footnote>
  <w:footnote w:type="continuationSeparator" w:id="0">
    <w:p w14:paraId="5A53BF52" w14:textId="77777777" w:rsidR="000D4F20" w:rsidRDefault="000D4F20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0D4F20" w:rsidRPr="00D20A55" w14:paraId="33EDFC58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2CAAF17B" w14:textId="77777777" w:rsidR="000D4F20" w:rsidRPr="00D20A55" w:rsidRDefault="000D4F20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60214EE6" wp14:editId="78DCAAFD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4FEC710" w14:textId="77777777" w:rsidR="000D4F20" w:rsidRPr="00D20A55" w:rsidRDefault="000D4F20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2D278050" w14:textId="77777777" w:rsidR="000D4F20" w:rsidRPr="00D20A55" w:rsidRDefault="000D4F20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5F724C2F" w14:textId="77777777" w:rsidR="000D4F20" w:rsidRPr="00D20A55" w:rsidRDefault="000D4F20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3EE1A015" w14:textId="77777777" w:rsidR="000D4F20" w:rsidRPr="00D20A55" w:rsidRDefault="000D4F20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480" w:dyaOrig="510" w14:anchorId="449899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5.35pt" o:ole="">
                <v:imagedata r:id="rId2" o:title=""/>
              </v:shape>
              <o:OLEObject Type="Embed" ProgID="MSPhotoEd.3" ShapeID="_x0000_i1027" DrawAspect="Content" ObjectID="_1507835023" r:id="rId3"/>
            </w:object>
          </w:r>
        </w:p>
        <w:p w14:paraId="70C72CE1" w14:textId="77777777" w:rsidR="000D4F20" w:rsidRPr="00DE4873" w:rsidRDefault="000D4F20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DE4873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14:paraId="2411991E" w14:textId="77777777" w:rsidR="000D4F20" w:rsidRPr="00DE4873" w:rsidRDefault="000D4F20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522BE498" w14:textId="77777777" w:rsidR="000D4F20" w:rsidRPr="00DE4873" w:rsidRDefault="000D4F20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78ED8D1B" w14:textId="77777777" w:rsidR="000D4F20" w:rsidRPr="00DE4873" w:rsidRDefault="000D4F20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4C4B489B" w14:textId="77777777" w:rsidR="000D4F20" w:rsidRPr="00D20A55" w:rsidRDefault="00824C60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/>
            </w:rPr>
          </w:pPr>
          <w:hyperlink r:id="rId4" w:history="1">
            <w:r w:rsidR="000D4F20" w:rsidRPr="00DE4873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14:paraId="7F2D4FA0" w14:textId="77777777" w:rsidR="000D4F20" w:rsidRPr="00D20A55" w:rsidRDefault="000D4F20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D20A5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14:paraId="0854ADDB" w14:textId="77777777" w:rsidR="000D4F20" w:rsidRPr="00D20A55" w:rsidRDefault="000D4F20" w:rsidP="00E022F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Email: licartib@artisticobusto.com     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14:paraId="339E606F" w14:textId="77777777" w:rsidR="000D4F20" w:rsidRPr="00D20A55" w:rsidRDefault="000D4F20" w:rsidP="00E022F1">
          <w:pPr>
            <w:jc w:val="center"/>
            <w:rPr>
              <w:color w:val="002060"/>
              <w:szCs w:val="24"/>
              <w:lang w:val="en-US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5DE64CCD" w14:textId="77777777" w:rsidR="000D4F20" w:rsidRPr="00D20A55" w:rsidRDefault="000D4F20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D386714" wp14:editId="67D7320B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45A7D0A6" wp14:editId="51FC456C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71D4370" w14:textId="77777777" w:rsidR="000D4F20" w:rsidRPr="00D20A55" w:rsidRDefault="000D4F20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68B12043" w14:textId="77777777" w:rsidR="000D4F20" w:rsidRPr="00D20A55" w:rsidRDefault="000D4F20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6E2F9EDA" w14:textId="77777777" w:rsidR="000D4F20" w:rsidRPr="00D20A55" w:rsidRDefault="000D4F20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0D4F20" w:rsidRPr="00D20A55" w14:paraId="7E7CC6AF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4BF68C37" w14:textId="77777777" w:rsidR="000D4F20" w:rsidRPr="00D20A55" w:rsidRDefault="000D4F20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4C6E086D" w14:textId="77777777" w:rsidR="000D4F20" w:rsidRPr="00D20A55" w:rsidRDefault="000D4F20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34460D66" w14:textId="77777777" w:rsidR="000D4F20" w:rsidRPr="00D20A55" w:rsidRDefault="000D4F20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56002742" wp14:editId="5EEF05D0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4F20" w:rsidRPr="00D20A55" w14:paraId="3D5BCD6E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13DF3677" w14:textId="77777777" w:rsidR="000D4F20" w:rsidRPr="003F4FA6" w:rsidRDefault="000D4F20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753935B0" w14:textId="77777777" w:rsidR="000D4F20" w:rsidRPr="00D20A55" w:rsidRDefault="000D4F20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2ECDA590" w14:textId="77777777" w:rsidR="000D4F20" w:rsidRPr="004B4574" w:rsidRDefault="000D4F20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22554C46" w14:textId="77777777" w:rsidR="000D4F20" w:rsidRPr="00D20A55" w:rsidRDefault="000D4F20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12BED98D" wp14:editId="3EACB9A9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E4D10D" w14:textId="77777777" w:rsidR="000D4F20" w:rsidRDefault="000D4F20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3"/>
      </v:shape>
    </w:pict>
  </w:numPicBullet>
  <w:numPicBullet w:numPicBulletId="1">
    <w:pict>
      <v:shape id="_x0000_i1033" type="#_x0000_t75" style="width:9.35pt;height:9.35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1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9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5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"/>
  </w:num>
  <w:num w:numId="4">
    <w:abstractNumId w:val="8"/>
  </w:num>
  <w:num w:numId="5">
    <w:abstractNumId w:val="28"/>
  </w:num>
  <w:num w:numId="6">
    <w:abstractNumId w:val="35"/>
  </w:num>
  <w:num w:numId="7">
    <w:abstractNumId w:val="7"/>
  </w:num>
  <w:num w:numId="8">
    <w:abstractNumId w:val="14"/>
  </w:num>
  <w:num w:numId="9">
    <w:abstractNumId w:val="20"/>
  </w:num>
  <w:num w:numId="10">
    <w:abstractNumId w:val="32"/>
  </w:num>
  <w:num w:numId="11">
    <w:abstractNumId w:val="18"/>
  </w:num>
  <w:num w:numId="12">
    <w:abstractNumId w:val="3"/>
  </w:num>
  <w:num w:numId="13">
    <w:abstractNumId w:val="22"/>
  </w:num>
  <w:num w:numId="14">
    <w:abstractNumId w:val="13"/>
  </w:num>
  <w:num w:numId="15">
    <w:abstractNumId w:val="27"/>
  </w:num>
  <w:num w:numId="16">
    <w:abstractNumId w:val="5"/>
  </w:num>
  <w:num w:numId="17">
    <w:abstractNumId w:val="25"/>
  </w:num>
  <w:num w:numId="18">
    <w:abstractNumId w:val="15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26"/>
  </w:num>
  <w:num w:numId="24">
    <w:abstractNumId w:val="29"/>
  </w:num>
  <w:num w:numId="25">
    <w:abstractNumId w:val="6"/>
  </w:num>
  <w:num w:numId="26">
    <w:abstractNumId w:val="4"/>
  </w:num>
  <w:num w:numId="27">
    <w:abstractNumId w:val="38"/>
  </w:num>
  <w:num w:numId="28">
    <w:abstractNumId w:val="39"/>
  </w:num>
  <w:num w:numId="29">
    <w:abstractNumId w:val="37"/>
  </w:num>
  <w:num w:numId="30">
    <w:abstractNumId w:val="33"/>
  </w:num>
  <w:num w:numId="31">
    <w:abstractNumId w:val="30"/>
  </w:num>
  <w:num w:numId="32">
    <w:abstractNumId w:val="12"/>
  </w:num>
  <w:num w:numId="33">
    <w:abstractNumId w:val="21"/>
  </w:num>
  <w:num w:numId="34">
    <w:abstractNumId w:val="10"/>
  </w:num>
  <w:num w:numId="35">
    <w:abstractNumId w:val="34"/>
  </w:num>
  <w:num w:numId="36">
    <w:abstractNumId w:val="24"/>
  </w:num>
  <w:num w:numId="37">
    <w:abstractNumId w:val="1"/>
  </w:num>
  <w:num w:numId="38">
    <w:abstractNumId w:val="9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35712"/>
    <w:rsid w:val="00041D49"/>
    <w:rsid w:val="00060F72"/>
    <w:rsid w:val="00063372"/>
    <w:rsid w:val="00082266"/>
    <w:rsid w:val="000A6192"/>
    <w:rsid w:val="000B7A35"/>
    <w:rsid w:val="000C09A4"/>
    <w:rsid w:val="000D4F20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1749C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71E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13B60"/>
    <w:rsid w:val="00420F5B"/>
    <w:rsid w:val="00425060"/>
    <w:rsid w:val="0044168F"/>
    <w:rsid w:val="00441A55"/>
    <w:rsid w:val="00442472"/>
    <w:rsid w:val="004453D6"/>
    <w:rsid w:val="00446FF3"/>
    <w:rsid w:val="0045212A"/>
    <w:rsid w:val="00453009"/>
    <w:rsid w:val="004645DA"/>
    <w:rsid w:val="00471F39"/>
    <w:rsid w:val="00487B8E"/>
    <w:rsid w:val="004B1245"/>
    <w:rsid w:val="004D3CFA"/>
    <w:rsid w:val="004D76EB"/>
    <w:rsid w:val="004F6E20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14762"/>
    <w:rsid w:val="00745A2F"/>
    <w:rsid w:val="00746D5C"/>
    <w:rsid w:val="00763D37"/>
    <w:rsid w:val="00773BAF"/>
    <w:rsid w:val="00783002"/>
    <w:rsid w:val="007952A6"/>
    <w:rsid w:val="007B780A"/>
    <w:rsid w:val="007C0B27"/>
    <w:rsid w:val="007C2DDA"/>
    <w:rsid w:val="007E4466"/>
    <w:rsid w:val="007F6A1C"/>
    <w:rsid w:val="00800A75"/>
    <w:rsid w:val="00803908"/>
    <w:rsid w:val="008105F5"/>
    <w:rsid w:val="00815E18"/>
    <w:rsid w:val="00824C60"/>
    <w:rsid w:val="0083110D"/>
    <w:rsid w:val="00840142"/>
    <w:rsid w:val="0087198E"/>
    <w:rsid w:val="00883A16"/>
    <w:rsid w:val="008877A0"/>
    <w:rsid w:val="00894190"/>
    <w:rsid w:val="008B0209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9E0995"/>
    <w:rsid w:val="00A07944"/>
    <w:rsid w:val="00A14DFA"/>
    <w:rsid w:val="00A15323"/>
    <w:rsid w:val="00A1732A"/>
    <w:rsid w:val="00A23F7D"/>
    <w:rsid w:val="00A44D8B"/>
    <w:rsid w:val="00A52AAA"/>
    <w:rsid w:val="00A56B47"/>
    <w:rsid w:val="00A57D44"/>
    <w:rsid w:val="00A6115E"/>
    <w:rsid w:val="00A76F4B"/>
    <w:rsid w:val="00A773DD"/>
    <w:rsid w:val="00A949B2"/>
    <w:rsid w:val="00AA6475"/>
    <w:rsid w:val="00B30051"/>
    <w:rsid w:val="00B3613E"/>
    <w:rsid w:val="00B44A84"/>
    <w:rsid w:val="00B5597F"/>
    <w:rsid w:val="00B86AC2"/>
    <w:rsid w:val="00B87D97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38D"/>
    <w:rsid w:val="00C239B5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4B64"/>
    <w:rsid w:val="00DA10E6"/>
    <w:rsid w:val="00DA302D"/>
    <w:rsid w:val="00DE0463"/>
    <w:rsid w:val="00DE10EE"/>
    <w:rsid w:val="00DF3009"/>
    <w:rsid w:val="00E022F1"/>
    <w:rsid w:val="00E259A6"/>
    <w:rsid w:val="00E26164"/>
    <w:rsid w:val="00E32164"/>
    <w:rsid w:val="00E56898"/>
    <w:rsid w:val="00E82173"/>
    <w:rsid w:val="00E917FA"/>
    <w:rsid w:val="00E9377D"/>
    <w:rsid w:val="00E9555E"/>
    <w:rsid w:val="00F253FE"/>
    <w:rsid w:val="00F345C5"/>
    <w:rsid w:val="00F36A6B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0D20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hyperlink" Target="http://www.artisticobusto.gov.it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E6E65E-DFDF-144F-9A26-E187256F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997</Words>
  <Characters>5685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6669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Luca</cp:lastModifiedBy>
  <cp:revision>21</cp:revision>
  <dcterms:created xsi:type="dcterms:W3CDTF">2019-10-29T22:35:00Z</dcterms:created>
  <dcterms:modified xsi:type="dcterms:W3CDTF">2019-10-30T21:17:00Z</dcterms:modified>
</cp:coreProperties>
</file>