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5B17" w14:textId="03C8293A" w:rsidR="00351031" w:rsidRDefault="00CD5F37">
      <w:r w:rsidRPr="00CD5F37">
        <w:rPr>
          <w:noProof/>
        </w:rPr>
        <w:drawing>
          <wp:inline distT="0" distB="0" distL="0" distR="0" wp14:anchorId="36303694" wp14:editId="64805D5D">
            <wp:extent cx="6645910" cy="120396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58" b="59436"/>
                    <a:stretch/>
                  </pic:blipFill>
                  <pic:spPr bwMode="auto">
                    <a:xfrm>
                      <a:off x="0" y="0"/>
                      <a:ext cx="66459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95B83" w14:textId="2BF63432" w:rsidR="00CD5F37" w:rsidRDefault="00CD5F37" w:rsidP="00CD5F37">
      <w:r>
        <w:t xml:space="preserve">Link Bicocca </w:t>
      </w:r>
      <w:hyperlink r:id="rId6" w:history="1">
        <w:r w:rsidRPr="00922F8C">
          <w:rPr>
            <w:rStyle w:val="Collegamentoipertestuale"/>
          </w:rPr>
          <w:t>https://www.unimib.it/servizi/orientamento-stage-e-job-placement/pcto</w:t>
        </w:r>
      </w:hyperlink>
    </w:p>
    <w:p w14:paraId="78CD1AFC" w14:textId="77777777" w:rsidR="00CD5F37" w:rsidRDefault="00CD5F37" w:rsidP="00CD5F37"/>
    <w:p w14:paraId="02E72AAD" w14:textId="3234338F" w:rsidR="00CD5F37" w:rsidRPr="00CD5F37" w:rsidRDefault="00CD5F37" w:rsidP="00CD5F37">
      <w:pPr>
        <w:ind w:firstLine="708"/>
        <w:rPr>
          <w:b/>
          <w:bCs/>
        </w:rPr>
      </w:pPr>
      <w:r w:rsidRPr="00CD5F37">
        <w:rPr>
          <w:b/>
          <w:bCs/>
        </w:rPr>
        <w:t>PCTO</w:t>
      </w:r>
      <w:r>
        <w:rPr>
          <w:b/>
          <w:bCs/>
        </w:rPr>
        <w:t xml:space="preserve"> ORIENTANTE</w:t>
      </w:r>
    </w:p>
    <w:p w14:paraId="795CE159" w14:textId="77777777" w:rsidR="00CD5F37" w:rsidRPr="00CD5F37" w:rsidRDefault="00CD5F37" w:rsidP="00CD5F37">
      <w:pPr>
        <w:ind w:firstLine="708"/>
      </w:pPr>
      <w:r w:rsidRPr="00CD5F37">
        <w:t>PERCORSI PER LE COMPETENZE TRASVERSALI E DI ORIENTAMENTO</w:t>
      </w:r>
    </w:p>
    <w:p w14:paraId="7B3DFD81" w14:textId="599C0976" w:rsidR="00CD5F37" w:rsidRPr="00CD5F37" w:rsidRDefault="00CD5F37" w:rsidP="00CD5F37">
      <w:pPr>
        <w:ind w:firstLine="708"/>
      </w:pPr>
      <w:r w:rsidRPr="00CD5F37">
        <w:t>Anche quest’anno l’Università degli Studi di Milano-Bicocca “apre le porte” agli studenti delle Scuole Superiori con il Bando 2020-2021 </w:t>
      </w:r>
      <w:r w:rsidRPr="00CD5F37">
        <w:rPr>
          <w:b/>
          <w:bCs/>
          <w:i/>
          <w:iCs/>
        </w:rPr>
        <w:t>PCTO in Bicocca</w:t>
      </w:r>
      <w:r w:rsidRPr="00CD5F37">
        <w:rPr>
          <w:i/>
          <w:iCs/>
        </w:rPr>
        <w:t>, </w:t>
      </w:r>
      <w:r w:rsidRPr="00CD5F37">
        <w:t>offrendo una rosa di progetti e attività tutti fruibili “da remoto” e senza perdere di vista il carattere di percorsi esperienziali </w:t>
      </w:r>
      <w:r w:rsidRPr="00CD5F37">
        <w:rPr>
          <w:i/>
          <w:iCs/>
        </w:rPr>
        <w:t>“orientati al fare e a compiti di realtà”</w:t>
      </w:r>
      <w:r w:rsidRPr="00CD5F37">
        <w:t> e la </w:t>
      </w:r>
      <w:r w:rsidRPr="00CD5F37">
        <w:rPr>
          <w:i/>
          <w:iCs/>
        </w:rPr>
        <w:t>“valenza formativa propria dell’orientamento in itinere”</w:t>
      </w:r>
      <w:r w:rsidRPr="00CD5F37">
        <w:t>. </w:t>
      </w:r>
    </w:p>
    <w:p w14:paraId="14333D78" w14:textId="77777777" w:rsidR="00CD5F37" w:rsidRPr="00CD5F37" w:rsidRDefault="00CD5F37" w:rsidP="00CD5F37">
      <w:pPr>
        <w:ind w:firstLine="708"/>
      </w:pPr>
      <w:r w:rsidRPr="00CD5F37">
        <w:t>Questo il calendario di programmazione del Bando:</w:t>
      </w:r>
    </w:p>
    <w:p w14:paraId="0CC9E4F6" w14:textId="77777777" w:rsidR="00CD5F37" w:rsidRPr="00CD5F37" w:rsidRDefault="00CD5F37" w:rsidP="00CD5F37">
      <w:pPr>
        <w:numPr>
          <w:ilvl w:val="0"/>
          <w:numId w:val="1"/>
        </w:numPr>
      </w:pPr>
      <w:r w:rsidRPr="00CD5F37">
        <w:t>Gennaio: pubblicazione del Bando</w:t>
      </w:r>
    </w:p>
    <w:p w14:paraId="386165F8" w14:textId="678B058D" w:rsidR="00CD5F37" w:rsidRPr="00CD5F37" w:rsidRDefault="00CD5F37" w:rsidP="00CD5F37">
      <w:pPr>
        <w:numPr>
          <w:ilvl w:val="0"/>
          <w:numId w:val="1"/>
        </w:numPr>
      </w:pPr>
      <w:r w:rsidRPr="00CD5F37">
        <w:t>Febbraio-</w:t>
      </w:r>
      <w:proofErr w:type="gramStart"/>
      <w:r w:rsidR="000B32CF">
        <w:t>M</w:t>
      </w:r>
      <w:r w:rsidRPr="00CD5F37">
        <w:t>arz</w:t>
      </w:r>
      <w:r w:rsidR="000B32CF">
        <w:t>o</w:t>
      </w:r>
      <w:proofErr w:type="gramEnd"/>
      <w:r w:rsidRPr="00CD5F37">
        <w:t>: selezione delle candidature e perfezionamento delle Convenzioni</w:t>
      </w:r>
    </w:p>
    <w:p w14:paraId="0B91A234" w14:textId="77777777" w:rsidR="00CD5F37" w:rsidRPr="00CD5F37" w:rsidRDefault="00CD5F37" w:rsidP="00CD5F37">
      <w:pPr>
        <w:numPr>
          <w:ilvl w:val="0"/>
          <w:numId w:val="1"/>
        </w:numPr>
      </w:pPr>
      <w:r w:rsidRPr="00CD5F37">
        <w:t>Aprile-</w:t>
      </w:r>
      <w:proofErr w:type="gramStart"/>
      <w:r w:rsidRPr="00CD5F37">
        <w:t>Giugno</w:t>
      </w:r>
      <w:proofErr w:type="gramEnd"/>
      <w:r w:rsidRPr="00CD5F37">
        <w:t>: svolgimento dei progetti</w:t>
      </w:r>
    </w:p>
    <w:p w14:paraId="6D0866D3" w14:textId="3666CFE5" w:rsidR="00CD5F37" w:rsidRDefault="00CD5F37" w:rsidP="00CD5F37">
      <w:pPr>
        <w:ind w:firstLine="708"/>
      </w:pPr>
      <w:r w:rsidRPr="000B32CF">
        <w:rPr>
          <w:b/>
          <w:bCs/>
          <w:color w:val="C00000"/>
          <w:sz w:val="32"/>
          <w:szCs w:val="32"/>
        </w:rPr>
        <w:t>Invitiamo</w:t>
      </w:r>
      <w:r w:rsidR="000B32CF" w:rsidRPr="000B32CF">
        <w:rPr>
          <w:b/>
          <w:bCs/>
          <w:color w:val="C00000"/>
          <w:sz w:val="32"/>
          <w:szCs w:val="32"/>
        </w:rPr>
        <w:t xml:space="preserve"> </w:t>
      </w:r>
      <w:r w:rsidR="000B32CF">
        <w:rPr>
          <w:b/>
          <w:bCs/>
          <w:color w:val="C00000"/>
          <w:sz w:val="32"/>
          <w:szCs w:val="32"/>
        </w:rPr>
        <w:t>gli</w:t>
      </w:r>
      <w:r w:rsidRPr="000B32CF">
        <w:rPr>
          <w:b/>
          <w:bCs/>
          <w:color w:val="C00000"/>
          <w:sz w:val="32"/>
          <w:szCs w:val="32"/>
        </w:rPr>
        <w:t xml:space="preserve"> studenti</w:t>
      </w:r>
      <w:r w:rsidRPr="00CD5F37">
        <w:t xml:space="preserve"> a consultare i progetti proposti nella sezione “Tabella progetti e </w:t>
      </w:r>
      <w:proofErr w:type="spellStart"/>
      <w:r w:rsidRPr="00CD5F37">
        <w:t>form</w:t>
      </w:r>
      <w:proofErr w:type="spellEnd"/>
      <w:r w:rsidRPr="00CD5F37">
        <w:t xml:space="preserve"> di iscrizione”</w:t>
      </w:r>
      <w:r>
        <w:t>.</w:t>
      </w:r>
    </w:p>
    <w:p w14:paraId="0993CD78" w14:textId="063E242D" w:rsidR="00CD5F37" w:rsidRPr="00CD5F37" w:rsidRDefault="00CD5F37" w:rsidP="00CD5F37">
      <w:pPr>
        <w:ind w:firstLine="708"/>
        <w:rPr>
          <w:b/>
          <w:bCs/>
        </w:rPr>
      </w:pPr>
    </w:p>
    <w:p w14:paraId="18FE92F0" w14:textId="0964470B" w:rsidR="00CD5F37" w:rsidRPr="00CD5F37" w:rsidRDefault="00CD5F37" w:rsidP="00CD5F37">
      <w:pPr>
        <w:ind w:firstLine="708"/>
        <w:rPr>
          <w:b/>
          <w:bCs/>
        </w:rPr>
      </w:pPr>
      <w:r w:rsidRPr="00CD5F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8435" wp14:editId="26DAB37B">
                <wp:simplePos x="0" y="0"/>
                <wp:positionH relativeFrom="column">
                  <wp:posOffset>144780</wp:posOffset>
                </wp:positionH>
                <wp:positionV relativeFrom="paragraph">
                  <wp:posOffset>224155</wp:posOffset>
                </wp:positionV>
                <wp:extent cx="1280160" cy="701040"/>
                <wp:effectExtent l="19050" t="19050" r="53340" b="6096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FB4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1.4pt;margin-top:17.65pt;width:100.8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" strokecolor="#c00000" strokeweight="4.5pt">
                <v:stroke endarrow="block" joinstyle="miter"/>
              </v:shape>
            </w:pict>
          </mc:Fallback>
        </mc:AlternateContent>
      </w:r>
      <w:r w:rsidRPr="00CD5F37">
        <w:rPr>
          <w:b/>
          <w:bCs/>
        </w:rPr>
        <w:t>CLICCA QUI</w:t>
      </w:r>
    </w:p>
    <w:p w14:paraId="077D6DAC" w14:textId="77777777" w:rsidR="00CD5F37" w:rsidRPr="00CD5F37" w:rsidRDefault="00CD5F37" w:rsidP="00CD5F37">
      <w:pPr>
        <w:ind w:firstLine="708"/>
      </w:pPr>
    </w:p>
    <w:p w14:paraId="7861E5B0" w14:textId="6706213F" w:rsidR="00CD5F37" w:rsidRDefault="00CD5F37" w:rsidP="00CD5F37">
      <w:r>
        <w:rPr>
          <w:noProof/>
        </w:rPr>
        <w:drawing>
          <wp:inline distT="0" distB="0" distL="0" distR="0" wp14:anchorId="3E96EAFD" wp14:editId="0554A5F2">
            <wp:extent cx="6453825" cy="1844040"/>
            <wp:effectExtent l="0" t="0" r="444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07" t="52388" r="1420" b="4195"/>
                    <a:stretch/>
                  </pic:blipFill>
                  <pic:spPr bwMode="auto">
                    <a:xfrm>
                      <a:off x="0" y="0"/>
                      <a:ext cx="6598668" cy="188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66D30" w14:textId="77722BD3" w:rsidR="00CD5F37" w:rsidRDefault="00CD5F37" w:rsidP="00CD5F37"/>
    <w:p w14:paraId="720841D3" w14:textId="1196FB11" w:rsidR="00CD5F37" w:rsidRDefault="00920D6C" w:rsidP="00CD5F37">
      <w:r>
        <w:t xml:space="preserve">La possibilità di accedere ai corsi PTCO orientanti </w:t>
      </w:r>
      <w:r w:rsidR="000B32CF">
        <w:t>sarà</w:t>
      </w:r>
      <w:r>
        <w:t xml:space="preserve"> vincolata dall</w:t>
      </w:r>
      <w:r w:rsidR="0018298D">
        <w:t>’inoltro</w:t>
      </w:r>
      <w:r>
        <w:t xml:space="preserve"> della candidatura al referente del liceo</w:t>
      </w:r>
      <w:r w:rsidR="000B2828">
        <w:t xml:space="preserve"> </w:t>
      </w:r>
      <w:r w:rsidR="0018298D">
        <w:t xml:space="preserve">Candiani </w:t>
      </w:r>
      <w:r w:rsidR="000B2828">
        <w:t>entro il 25 gennaio 2021.</w:t>
      </w:r>
    </w:p>
    <w:p w14:paraId="22B86ECC" w14:textId="77777777" w:rsidR="00920D6C" w:rsidRPr="00CD5F37" w:rsidRDefault="00920D6C" w:rsidP="00CD5F37"/>
    <w:sectPr w:rsidR="00920D6C" w:rsidRPr="00CD5F37" w:rsidSect="00CD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7FD"/>
    <w:multiLevelType w:val="multilevel"/>
    <w:tmpl w:val="C01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7"/>
    <w:rsid w:val="000B2828"/>
    <w:rsid w:val="000B32CF"/>
    <w:rsid w:val="0018298D"/>
    <w:rsid w:val="00351031"/>
    <w:rsid w:val="00920D6C"/>
    <w:rsid w:val="00C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4C37"/>
  <w15:chartTrackingRefBased/>
  <w15:docId w15:val="{A8C49AF4-0FA6-4748-83E5-86C0838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5F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32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498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88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mib.it/servizi/orientamento-stage-e-job-placement/pc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4</cp:revision>
  <dcterms:created xsi:type="dcterms:W3CDTF">2021-01-20T10:15:00Z</dcterms:created>
  <dcterms:modified xsi:type="dcterms:W3CDTF">2021-01-21T12:33:00Z</dcterms:modified>
</cp:coreProperties>
</file>