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93D2" w14:textId="77777777" w:rsidR="004D5824" w:rsidRDefault="004D5824" w:rsidP="004D5824">
      <w:pPr>
        <w:spacing w:after="0" w:line="240" w:lineRule="auto"/>
        <w:jc w:val="both"/>
        <w:rPr>
          <w:rFonts w:ascii="Calibri Light" w:eastAsia="Times New Roman" w:hAnsi="Calibri Light" w:cs="Calibri Light"/>
          <w:b/>
          <w:bCs/>
          <w:color w:val="000000"/>
          <w:sz w:val="24"/>
          <w:szCs w:val="24"/>
          <w:lang w:eastAsia="it-IT"/>
        </w:rPr>
      </w:pPr>
    </w:p>
    <w:p w14:paraId="66A0A3B5" w14:textId="77777777" w:rsidR="004D5824" w:rsidRDefault="004D5824" w:rsidP="004D5824">
      <w:pPr>
        <w:spacing w:after="0" w:line="240" w:lineRule="auto"/>
        <w:jc w:val="both"/>
        <w:rPr>
          <w:rFonts w:ascii="Calibri Light" w:eastAsia="Times New Roman" w:hAnsi="Calibri Light" w:cs="Calibri Light"/>
          <w:b/>
          <w:bCs/>
          <w:color w:val="000000"/>
          <w:sz w:val="24"/>
          <w:szCs w:val="24"/>
          <w:lang w:eastAsia="it-IT"/>
        </w:rPr>
      </w:pPr>
    </w:p>
    <w:p w14:paraId="34746218" w14:textId="77777777" w:rsidR="004D5824" w:rsidRDefault="004D5824" w:rsidP="004D5824">
      <w:pPr>
        <w:spacing w:after="0" w:line="240" w:lineRule="auto"/>
        <w:jc w:val="both"/>
        <w:rPr>
          <w:rFonts w:ascii="Calibri Light" w:eastAsia="Times New Roman" w:hAnsi="Calibri Light" w:cs="Calibri Light"/>
          <w:b/>
          <w:bCs/>
          <w:color w:val="000000"/>
          <w:sz w:val="24"/>
          <w:szCs w:val="24"/>
          <w:lang w:eastAsia="it-IT"/>
        </w:rPr>
      </w:pPr>
    </w:p>
    <w:p w14:paraId="1963EB67" w14:textId="77777777" w:rsidR="004D5824" w:rsidRDefault="004D5824" w:rsidP="004D5824">
      <w:pPr>
        <w:spacing w:after="0" w:line="240" w:lineRule="auto"/>
        <w:jc w:val="both"/>
        <w:rPr>
          <w:rFonts w:ascii="Calibri Light" w:eastAsia="Times New Roman" w:hAnsi="Calibri Light" w:cs="Calibri Light"/>
          <w:b/>
          <w:bCs/>
          <w:color w:val="000000"/>
          <w:sz w:val="24"/>
          <w:szCs w:val="24"/>
          <w:lang w:eastAsia="it-IT"/>
        </w:rPr>
      </w:pPr>
    </w:p>
    <w:p w14:paraId="013DD743" w14:textId="6FE4036A"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r w:rsidRPr="004D5824">
        <w:rPr>
          <w:rFonts w:ascii="Calibri Light" w:eastAsia="Times New Roman" w:hAnsi="Calibri Light" w:cs="Calibri Light"/>
          <w:b/>
          <w:bCs/>
          <w:color w:val="000000"/>
          <w:sz w:val="24"/>
          <w:szCs w:val="24"/>
          <w:lang w:eastAsia="it-IT"/>
        </w:rPr>
        <w:t>Nasce a Ferrara un nuovo corso di laurea triennale in Scienze giuridiche</w:t>
      </w:r>
      <w:r w:rsidRPr="004D5824">
        <w:rPr>
          <w:rFonts w:ascii="Calibri Light" w:eastAsia="Times New Roman" w:hAnsi="Calibri Light" w:cs="Calibri Light"/>
          <w:color w:val="000000"/>
          <w:sz w:val="24"/>
          <w:szCs w:val="24"/>
          <w:lang w:eastAsia="it-IT"/>
        </w:rPr>
        <w:t>, unico in Italia, interamente dedicato "alla sicurezza e alla prevenzione" nelle sue varie declinazioni </w:t>
      </w:r>
      <w:r w:rsidRPr="004D5824">
        <w:rPr>
          <w:rFonts w:ascii="Calibri Light" w:eastAsia="Times New Roman" w:hAnsi="Calibri Light" w:cs="Calibri Light"/>
          <w:color w:val="222222"/>
          <w:sz w:val="24"/>
          <w:szCs w:val="24"/>
          <w:lang w:eastAsia="it-IT"/>
        </w:rPr>
        <w:t>"Polizia, indagini e servizi alla giustizia", "Sicurezza sul lavoro, ambientale e dei prodotti", "Prevenzione e gestione dei rischi d'impresa". </w:t>
      </w:r>
    </w:p>
    <w:p w14:paraId="3C77CE40" w14:textId="77777777"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p>
    <w:p w14:paraId="5B304DD5" w14:textId="77777777"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r w:rsidRPr="004D5824">
        <w:rPr>
          <w:rFonts w:ascii="Calibri Light" w:eastAsia="Times New Roman" w:hAnsi="Calibri Light" w:cs="Calibri Light"/>
          <w:color w:val="222222"/>
          <w:sz w:val="24"/>
          <w:szCs w:val="24"/>
          <w:lang w:eastAsia="it-IT"/>
        </w:rPr>
        <w:t>Per presentare la nostra nuova offerta formativa abbiamo organizzato due importanti eventi: </w:t>
      </w:r>
    </w:p>
    <w:p w14:paraId="6726CEDA" w14:textId="63D29FF7"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r w:rsidRPr="004D5824">
        <w:rPr>
          <w:rFonts w:ascii="Calibri Light" w:eastAsia="Times New Roman" w:hAnsi="Calibri Light" w:cs="Calibri Light"/>
          <w:color w:val="222222"/>
          <w:sz w:val="24"/>
          <w:szCs w:val="24"/>
          <w:lang w:eastAsia="it-IT"/>
        </w:rPr>
        <w:t>- il tradizionale </w:t>
      </w:r>
      <w:r w:rsidRPr="004D5824">
        <w:rPr>
          <w:rFonts w:ascii="Calibri Light" w:eastAsia="Times New Roman" w:hAnsi="Calibri Light" w:cs="Calibri Light"/>
          <w:b/>
          <w:bCs/>
          <w:color w:val="222222"/>
          <w:sz w:val="24"/>
          <w:szCs w:val="24"/>
          <w:lang w:eastAsia="it-IT"/>
        </w:rPr>
        <w:t>Open day</w:t>
      </w:r>
      <w:r w:rsidRPr="004D5824">
        <w:rPr>
          <w:rFonts w:ascii="Calibri Light" w:eastAsia="Times New Roman" w:hAnsi="Calibri Light" w:cs="Calibri Light"/>
          <w:color w:val="222222"/>
          <w:sz w:val="24"/>
          <w:szCs w:val="24"/>
          <w:lang w:eastAsia="it-IT"/>
        </w:rPr>
        <w:t> in programma il </w:t>
      </w:r>
      <w:r w:rsidRPr="004D5824">
        <w:rPr>
          <w:rFonts w:ascii="Calibri Light" w:eastAsia="Times New Roman" w:hAnsi="Calibri Light" w:cs="Calibri Light"/>
          <w:b/>
          <w:bCs/>
          <w:color w:val="222222"/>
          <w:sz w:val="24"/>
          <w:szCs w:val="24"/>
          <w:lang w:eastAsia="it-IT"/>
        </w:rPr>
        <w:t>28 Aprile</w:t>
      </w:r>
      <w:r w:rsidRPr="004D5824">
        <w:rPr>
          <w:rFonts w:ascii="Calibri Light" w:eastAsia="Times New Roman" w:hAnsi="Calibri Light" w:cs="Calibri Light"/>
          <w:color w:val="222222"/>
          <w:sz w:val="24"/>
          <w:szCs w:val="24"/>
          <w:lang w:eastAsia="it-IT"/>
        </w:rPr>
        <w:t>, </w:t>
      </w:r>
      <w:r w:rsidRPr="004D5824">
        <w:rPr>
          <w:rFonts w:ascii="Calibri Light" w:eastAsia="Times New Roman" w:hAnsi="Calibri Light" w:cs="Calibri Light"/>
          <w:b/>
          <w:bCs/>
          <w:color w:val="222222"/>
          <w:sz w:val="24"/>
          <w:szCs w:val="24"/>
          <w:lang w:eastAsia="it-IT"/>
        </w:rPr>
        <w:t>alle ore 10</w:t>
      </w:r>
      <w:r w:rsidRPr="004D5824">
        <w:rPr>
          <w:rFonts w:ascii="Calibri Light" w:eastAsia="Times New Roman" w:hAnsi="Calibri Light" w:cs="Calibri Light"/>
          <w:color w:val="222222"/>
          <w:sz w:val="24"/>
          <w:szCs w:val="24"/>
          <w:lang w:eastAsia="it-IT"/>
        </w:rPr>
        <w:t xml:space="preserve">: dopo una prima parte istituzionale con il Direttore di Dipartimento e il Coordinatore del Corso di Studio, è prevista una Tavola rotonda </w:t>
      </w:r>
      <w:r>
        <w:rPr>
          <w:rFonts w:ascii="Calibri Light" w:eastAsia="Times New Roman" w:hAnsi="Calibri Light" w:cs="Calibri Light"/>
          <w:color w:val="222222"/>
          <w:sz w:val="24"/>
          <w:szCs w:val="24"/>
          <w:lang w:eastAsia="it-IT"/>
        </w:rPr>
        <w:t>d</w:t>
      </w:r>
      <w:r w:rsidRPr="004D5824">
        <w:rPr>
          <w:rFonts w:ascii="Calibri Light" w:eastAsia="Times New Roman" w:hAnsi="Calibri Light" w:cs="Calibri Light"/>
          <w:color w:val="222222"/>
          <w:sz w:val="24"/>
          <w:szCs w:val="24"/>
          <w:lang w:eastAsia="it-IT"/>
        </w:rPr>
        <w:t xml:space="preserve">ove parteciperanno </w:t>
      </w:r>
      <w:r>
        <w:rPr>
          <w:rFonts w:ascii="Calibri Light" w:eastAsia="Times New Roman" w:hAnsi="Calibri Light" w:cs="Calibri Light"/>
          <w:color w:val="222222"/>
          <w:sz w:val="24"/>
          <w:szCs w:val="24"/>
          <w:lang w:eastAsia="it-IT"/>
        </w:rPr>
        <w:t xml:space="preserve">i </w:t>
      </w:r>
      <w:r w:rsidRPr="004D5824">
        <w:rPr>
          <w:rFonts w:ascii="Calibri Light" w:eastAsia="Times New Roman" w:hAnsi="Calibri Light" w:cs="Calibri Light"/>
          <w:color w:val="222222"/>
          <w:sz w:val="24"/>
          <w:szCs w:val="24"/>
          <w:lang w:eastAsia="it-IT"/>
        </w:rPr>
        <w:t xml:space="preserve">nostri </w:t>
      </w:r>
      <w:r>
        <w:rPr>
          <w:rFonts w:ascii="Calibri Light" w:eastAsia="Times New Roman" w:hAnsi="Calibri Light" w:cs="Calibri Light"/>
          <w:color w:val="222222"/>
          <w:sz w:val="24"/>
          <w:szCs w:val="24"/>
          <w:lang w:eastAsia="it-IT"/>
        </w:rPr>
        <w:t>a</w:t>
      </w:r>
      <w:r w:rsidRPr="004D5824">
        <w:rPr>
          <w:rFonts w:ascii="Calibri Light" w:eastAsia="Times New Roman" w:hAnsi="Calibri Light" w:cs="Calibri Light"/>
          <w:color w:val="222222"/>
          <w:sz w:val="24"/>
          <w:szCs w:val="24"/>
          <w:lang w:eastAsia="it-IT"/>
        </w:rPr>
        <w:t>lu</w:t>
      </w:r>
      <w:r>
        <w:rPr>
          <w:rFonts w:ascii="Calibri Light" w:eastAsia="Times New Roman" w:hAnsi="Calibri Light" w:cs="Calibri Light"/>
          <w:color w:val="222222"/>
          <w:sz w:val="24"/>
          <w:szCs w:val="24"/>
          <w:lang w:eastAsia="it-IT"/>
        </w:rPr>
        <w:t>n</w:t>
      </w:r>
      <w:r w:rsidRPr="004D5824">
        <w:rPr>
          <w:rFonts w:ascii="Calibri Light" w:eastAsia="Times New Roman" w:hAnsi="Calibri Light" w:cs="Calibri Light"/>
          <w:color w:val="222222"/>
          <w:sz w:val="24"/>
          <w:szCs w:val="24"/>
          <w:lang w:eastAsia="it-IT"/>
        </w:rPr>
        <w:t>ni laureati ai quali sarà dato modo di illustrare esperienze e valore aggiunto apportato dagli studi giuridici.</w:t>
      </w:r>
    </w:p>
    <w:p w14:paraId="56DA5F4E" w14:textId="77777777"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r w:rsidRPr="004D5824">
        <w:rPr>
          <w:rFonts w:ascii="Calibri Light" w:eastAsia="Times New Roman" w:hAnsi="Calibri Light" w:cs="Calibri Light"/>
          <w:color w:val="222222"/>
          <w:sz w:val="24"/>
          <w:szCs w:val="24"/>
          <w:lang w:eastAsia="it-IT"/>
        </w:rPr>
        <w:t>- uno speciale evento di </w:t>
      </w:r>
      <w:r w:rsidRPr="004D5824">
        <w:rPr>
          <w:rFonts w:ascii="Calibri Light" w:eastAsia="Times New Roman" w:hAnsi="Calibri Light" w:cs="Calibri Light"/>
          <w:b/>
          <w:bCs/>
          <w:color w:val="222222"/>
          <w:sz w:val="24"/>
          <w:szCs w:val="24"/>
          <w:lang w:eastAsia="it-IT"/>
        </w:rPr>
        <w:t>Lancio</w:t>
      </w:r>
      <w:r w:rsidRPr="004D5824">
        <w:rPr>
          <w:rFonts w:ascii="Calibri Light" w:eastAsia="Times New Roman" w:hAnsi="Calibri Light" w:cs="Calibri Light"/>
          <w:color w:val="222222"/>
          <w:sz w:val="24"/>
          <w:szCs w:val="24"/>
          <w:lang w:eastAsia="it-IT"/>
        </w:rPr>
        <w:t> in programma il </w:t>
      </w:r>
      <w:r w:rsidRPr="004D5824">
        <w:rPr>
          <w:rFonts w:ascii="Calibri Light" w:eastAsia="Times New Roman" w:hAnsi="Calibri Light" w:cs="Calibri Light"/>
          <w:b/>
          <w:bCs/>
          <w:color w:val="222222"/>
          <w:sz w:val="24"/>
          <w:szCs w:val="24"/>
          <w:lang w:eastAsia="it-IT"/>
        </w:rPr>
        <w:t>6 Maggio, alle ore 10</w:t>
      </w:r>
      <w:r w:rsidRPr="004D5824">
        <w:rPr>
          <w:rFonts w:ascii="Calibri Light" w:eastAsia="Times New Roman" w:hAnsi="Calibri Light" w:cs="Calibri Light"/>
          <w:color w:val="222222"/>
          <w:sz w:val="24"/>
          <w:szCs w:val="24"/>
          <w:lang w:eastAsia="it-IT"/>
        </w:rPr>
        <w:t>: I temi della Sicurezza e della Prevenzione verranno analizzati in un caso di attualità ben noto (il Caso Ilva) nel corso di un dialogo a più voci tra i Docenti di riferimento dei tre diversi curricula.  </w:t>
      </w:r>
    </w:p>
    <w:p w14:paraId="12871293" w14:textId="77777777"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p>
    <w:p w14:paraId="62E03FB5" w14:textId="77777777"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r w:rsidRPr="004D5824">
        <w:rPr>
          <w:rFonts w:ascii="Calibri Light" w:eastAsia="Times New Roman" w:hAnsi="Calibri Light" w:cs="Calibri Light"/>
          <w:color w:val="222222"/>
          <w:sz w:val="24"/>
          <w:szCs w:val="24"/>
          <w:lang w:eastAsia="it-IT"/>
        </w:rPr>
        <w:t>Gli incontri si terranno sulla piattaforma </w:t>
      </w:r>
      <w:r w:rsidRPr="004D5824">
        <w:rPr>
          <w:rFonts w:ascii="Calibri Light" w:eastAsia="Times New Roman" w:hAnsi="Calibri Light" w:cs="Calibri Light"/>
          <w:b/>
          <w:bCs/>
          <w:color w:val="222222"/>
          <w:sz w:val="24"/>
          <w:szCs w:val="24"/>
          <w:lang w:eastAsia="it-IT"/>
        </w:rPr>
        <w:t>Google Meet</w:t>
      </w:r>
      <w:r w:rsidRPr="004D5824">
        <w:rPr>
          <w:rFonts w:ascii="Calibri Light" w:eastAsia="Times New Roman" w:hAnsi="Calibri Light" w:cs="Calibri Light"/>
          <w:color w:val="222222"/>
          <w:sz w:val="24"/>
          <w:szCs w:val="24"/>
          <w:lang w:eastAsia="it-IT"/>
        </w:rPr>
        <w:t>. </w:t>
      </w:r>
    </w:p>
    <w:p w14:paraId="4FF8E655" w14:textId="77777777" w:rsidR="004D5824" w:rsidRPr="004D5824" w:rsidRDefault="004D5824" w:rsidP="004D5824">
      <w:pPr>
        <w:spacing w:after="0" w:line="240" w:lineRule="auto"/>
        <w:jc w:val="both"/>
        <w:rPr>
          <w:rFonts w:ascii="Calibri Light" w:eastAsia="Times New Roman" w:hAnsi="Calibri Light" w:cs="Calibri Light"/>
          <w:color w:val="222222"/>
          <w:sz w:val="24"/>
          <w:szCs w:val="24"/>
          <w:lang w:eastAsia="it-IT"/>
        </w:rPr>
      </w:pPr>
    </w:p>
    <w:p w14:paraId="1AA93415" w14:textId="77777777" w:rsidR="004D5824" w:rsidRPr="004D5824" w:rsidRDefault="004D5824" w:rsidP="004D5824">
      <w:pPr>
        <w:spacing w:after="0" w:line="240" w:lineRule="auto"/>
        <w:jc w:val="both"/>
        <w:rPr>
          <w:rFonts w:asciiTheme="majorHAnsi" w:eastAsia="Times New Roman" w:hAnsiTheme="majorHAnsi" w:cstheme="majorHAnsi"/>
          <w:color w:val="222222"/>
          <w:sz w:val="24"/>
          <w:szCs w:val="24"/>
          <w:lang w:eastAsia="it-IT"/>
        </w:rPr>
      </w:pPr>
      <w:r w:rsidRPr="004D5824">
        <w:rPr>
          <w:rFonts w:asciiTheme="majorHAnsi" w:eastAsia="Times New Roman" w:hAnsiTheme="majorHAnsi" w:cstheme="majorHAnsi"/>
          <w:color w:val="222222"/>
          <w:sz w:val="24"/>
          <w:szCs w:val="24"/>
          <w:lang w:eastAsia="it-IT"/>
        </w:rPr>
        <w:t>In allegato trovate le Locandine delle due iniziative con l'indicazione delle </w:t>
      </w:r>
      <w:r w:rsidRPr="004D5824">
        <w:rPr>
          <w:rFonts w:asciiTheme="majorHAnsi" w:eastAsia="Times New Roman" w:hAnsiTheme="majorHAnsi" w:cstheme="majorHAnsi"/>
          <w:b/>
          <w:bCs/>
          <w:color w:val="222222"/>
          <w:sz w:val="24"/>
          <w:szCs w:val="24"/>
          <w:lang w:eastAsia="it-IT"/>
        </w:rPr>
        <w:t>modalità di iscrizione</w:t>
      </w:r>
      <w:r w:rsidRPr="004D5824">
        <w:rPr>
          <w:rFonts w:asciiTheme="majorHAnsi" w:eastAsia="Times New Roman" w:hAnsiTheme="majorHAnsi" w:cstheme="majorHAnsi"/>
          <w:color w:val="222222"/>
          <w:sz w:val="24"/>
          <w:szCs w:val="24"/>
          <w:lang w:eastAsia="it-IT"/>
        </w:rPr>
        <w:t>.</w:t>
      </w:r>
    </w:p>
    <w:p w14:paraId="683FBE00" w14:textId="77777777" w:rsidR="004D5824" w:rsidRPr="004D5824" w:rsidRDefault="004D5824" w:rsidP="004D5824">
      <w:pPr>
        <w:spacing w:after="0" w:line="240" w:lineRule="auto"/>
        <w:jc w:val="both"/>
        <w:rPr>
          <w:rFonts w:ascii="Arial" w:eastAsia="Times New Roman" w:hAnsi="Arial" w:cs="Arial"/>
          <w:color w:val="222222"/>
          <w:sz w:val="24"/>
          <w:szCs w:val="24"/>
          <w:lang w:eastAsia="it-IT"/>
        </w:rPr>
      </w:pPr>
      <w:r w:rsidRPr="004D5824">
        <w:rPr>
          <w:rFonts w:asciiTheme="majorHAnsi" w:eastAsia="Times New Roman" w:hAnsiTheme="majorHAnsi" w:cstheme="majorHAnsi"/>
          <w:color w:val="222222"/>
          <w:sz w:val="24"/>
          <w:szCs w:val="24"/>
          <w:lang w:eastAsia="it-IT"/>
        </w:rPr>
        <w:t>Per ogni ulteriore necessità vi invitiamo a scriverci all'indirizzo di posta istituzionale: </w:t>
      </w:r>
      <w:hyperlink r:id="rId4" w:tgtFrame="_blank" w:history="1">
        <w:r w:rsidRPr="004D5824">
          <w:rPr>
            <w:rFonts w:asciiTheme="majorHAnsi" w:eastAsia="Times New Roman" w:hAnsiTheme="majorHAnsi" w:cstheme="majorHAnsi"/>
            <w:color w:val="1155CC"/>
            <w:sz w:val="24"/>
            <w:szCs w:val="24"/>
            <w:u w:val="single"/>
            <w:lang w:eastAsia="it-IT"/>
          </w:rPr>
          <w:t>giuri.orienta@unife.it</w:t>
        </w:r>
      </w:hyperlink>
      <w:r w:rsidRPr="004D5824">
        <w:rPr>
          <w:rFonts w:ascii="Georgia" w:eastAsia="Times New Roman" w:hAnsi="Georgia" w:cs="Arial"/>
          <w:color w:val="222222"/>
          <w:sz w:val="20"/>
          <w:szCs w:val="20"/>
          <w:lang w:eastAsia="it-IT"/>
        </w:rPr>
        <w:t> </w:t>
      </w:r>
    </w:p>
    <w:p w14:paraId="706904ED" w14:textId="77777777" w:rsidR="004D5824" w:rsidRPr="004D5824" w:rsidRDefault="004D5824" w:rsidP="004D5824">
      <w:pPr>
        <w:spacing w:after="0" w:line="240" w:lineRule="auto"/>
        <w:jc w:val="both"/>
        <w:rPr>
          <w:rFonts w:ascii="Arial" w:eastAsia="Times New Roman" w:hAnsi="Arial" w:cs="Arial"/>
          <w:color w:val="222222"/>
          <w:sz w:val="24"/>
          <w:szCs w:val="24"/>
          <w:lang w:eastAsia="it-IT"/>
        </w:rPr>
      </w:pPr>
    </w:p>
    <w:p w14:paraId="07EEECC4" w14:textId="77777777" w:rsidR="004D5824" w:rsidRPr="004D5824" w:rsidRDefault="004D5824" w:rsidP="004D5824">
      <w:pPr>
        <w:spacing w:after="0" w:line="240" w:lineRule="auto"/>
        <w:jc w:val="both"/>
        <w:rPr>
          <w:rFonts w:ascii="Calibri Light" w:eastAsia="Times New Roman" w:hAnsi="Calibri Light" w:cs="Calibri Light"/>
          <w:i/>
          <w:iCs/>
          <w:color w:val="222222"/>
          <w:sz w:val="24"/>
          <w:szCs w:val="24"/>
          <w:lang w:eastAsia="it-IT"/>
        </w:rPr>
      </w:pPr>
      <w:r w:rsidRPr="004D5824">
        <w:rPr>
          <w:rFonts w:ascii="Calibri Light" w:eastAsia="Times New Roman" w:hAnsi="Calibri Light" w:cs="Calibri Light"/>
          <w:i/>
          <w:iCs/>
          <w:color w:val="222222"/>
          <w:sz w:val="24"/>
          <w:szCs w:val="24"/>
          <w:lang w:eastAsia="it-IT"/>
        </w:rPr>
        <w:t>[</w:t>
      </w:r>
      <w:r w:rsidRPr="004D5824">
        <w:rPr>
          <w:rFonts w:ascii="Calibri Light" w:eastAsia="Times New Roman" w:hAnsi="Calibri Light" w:cs="Calibri Light"/>
          <w:i/>
          <w:iCs/>
          <w:color w:val="222222"/>
          <w:lang w:eastAsia="it-IT"/>
        </w:rPr>
        <w:t>L’approfondimento multidisciplinare sul caso Ilva, l'acciaieria di Taranto a tutti nota, consente ai docenti del Dipartimento di Giurisprudenza di presentare l’innovatività ed estrema attualità del nuovo percorso di studi della Laurea Triennale.</w:t>
      </w:r>
    </w:p>
    <w:p w14:paraId="73FDC7A2" w14:textId="77777777" w:rsidR="004D5824" w:rsidRPr="004D5824" w:rsidRDefault="004D5824" w:rsidP="004D5824">
      <w:pPr>
        <w:shd w:val="clear" w:color="auto" w:fill="FFFFFF"/>
        <w:spacing w:after="0" w:line="240" w:lineRule="auto"/>
        <w:jc w:val="both"/>
        <w:rPr>
          <w:rFonts w:ascii="Calibri Light" w:eastAsia="Times New Roman" w:hAnsi="Calibri Light" w:cs="Calibri Light"/>
          <w:i/>
          <w:iCs/>
          <w:color w:val="222222"/>
          <w:sz w:val="20"/>
          <w:szCs w:val="20"/>
          <w:lang w:eastAsia="it-IT"/>
        </w:rPr>
      </w:pPr>
      <w:r w:rsidRPr="004D5824">
        <w:rPr>
          <w:rFonts w:ascii="Calibri Light" w:eastAsia="Times New Roman" w:hAnsi="Calibri Light" w:cs="Calibri Light"/>
          <w:i/>
          <w:iCs/>
          <w:color w:val="222222"/>
          <w:lang w:eastAsia="it-IT"/>
        </w:rPr>
        <w:t>Il caso Ilva – emblematico per la sua complessità e per i conflitti che ha fatto esplodere – fa riflettere su una pluralità di questioni sociali e giuridiche che sorgono quando stabilimenti industriali, situati in contesti abitativi, espongono la popolazione a sostanze tossiche. Diventa significativo, allora, non solo il tema della salute dei lavoratori ma anche dei cittadini e, in senso ampio, la salubrità dell'ambiente esterno. Il caso ha messo in evidenza, in particolare, la difficoltà del bilanciamento tra beni in conflitto: da un lato, l'iniziativa economica (peraltro, nell’ambito di stabilimenti di rilevante interesse nazionale) e il diritto al lavoro; dall'altro, la salute e l'ambiente. Le vicende giudiziarie si sono articolate su vari livelli e hanno visto la problematica valorizzazione delle indagini epidemiologiche nel documentare un aumento delle patologie oncologiche tra gli abitanti delle aree limitrofe. Ma è soprattutto il procedimento penale attualmente in fase dibattimentale davanti alla Corte d'Assise di Taranto, dove numerosi imputati sono chiamati a rispondere di gravissimi delitti (associazione per delinquere finalizzata a commettere un disastro sanitario e ambientale), a far emergere tutta la complessità delle menzionate operazioni di bilanciamento tra beni fondamentali in conflitto. Sono diverse, ancora, le questioni sollevate dagli strumenti nuovi e straordinari di tutela economica della continuità produttiva, a partire dai più volte riproposti provvedimenti governativi noti come “Salva Ilva”.</w:t>
      </w:r>
    </w:p>
    <w:p w14:paraId="69E0870A" w14:textId="77777777" w:rsidR="004D5824" w:rsidRPr="004D5824" w:rsidRDefault="004D5824" w:rsidP="004D5824">
      <w:pPr>
        <w:shd w:val="clear" w:color="auto" w:fill="FFFFFF"/>
        <w:spacing w:after="0" w:line="240" w:lineRule="auto"/>
        <w:jc w:val="both"/>
        <w:rPr>
          <w:rFonts w:ascii="Calibri Light" w:eastAsia="Times New Roman" w:hAnsi="Calibri Light" w:cs="Calibri Light"/>
          <w:i/>
          <w:iCs/>
          <w:color w:val="222222"/>
          <w:sz w:val="20"/>
          <w:szCs w:val="20"/>
          <w:lang w:eastAsia="it-IT"/>
        </w:rPr>
      </w:pPr>
      <w:r w:rsidRPr="004D5824">
        <w:rPr>
          <w:rFonts w:ascii="Calibri Light" w:eastAsia="Times New Roman" w:hAnsi="Calibri Light" w:cs="Calibri Light"/>
          <w:i/>
          <w:iCs/>
          <w:color w:val="222222"/>
          <w:lang w:eastAsia="it-IT"/>
        </w:rPr>
        <w:t>I temi saranno affrontati in maniera dialogica dai diversi punti di vista: del diritto del lavoro, del diritto penale, della procedura penale, del diritto dell'organizzazione e della responsabilità civile delle imprese.]</w:t>
      </w:r>
    </w:p>
    <w:p w14:paraId="5DBC7C87" w14:textId="77777777" w:rsidR="00351031" w:rsidRPr="004D5824" w:rsidRDefault="00351031">
      <w:pPr>
        <w:rPr>
          <w:rFonts w:ascii="Calibri Light" w:hAnsi="Calibri Light" w:cs="Calibri Light"/>
          <w:i/>
          <w:iCs/>
        </w:rPr>
      </w:pPr>
    </w:p>
    <w:sectPr w:rsidR="00351031" w:rsidRPr="004D5824" w:rsidSect="004D58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24"/>
    <w:rsid w:val="00351031"/>
    <w:rsid w:val="004D5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0431"/>
  <w15:chartTrackingRefBased/>
  <w15:docId w15:val="{9EA46C7B-FFDB-4582-9605-EC20EA99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uri.orienta@unif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2</cp:revision>
  <dcterms:created xsi:type="dcterms:W3CDTF">2021-04-23T19:40:00Z</dcterms:created>
  <dcterms:modified xsi:type="dcterms:W3CDTF">2021-04-23T19:45:00Z</dcterms:modified>
</cp:coreProperties>
</file>